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DE654">
      <w:pPr>
        <w:pStyle w:val="2"/>
        <w:spacing w:beforeLines="0" w:afterLines="0"/>
        <w:rPr>
          <w:rFonts w:hint="eastAsia" w:ascii="宋体" w:hAnsi="宋体" w:eastAsiaTheme="minorEastAsia"/>
          <w:b w:val="0"/>
          <w:bCs w:val="0"/>
          <w:color w:val="000000"/>
          <w:kern w:val="2"/>
          <w:sz w:val="36"/>
          <w:szCs w:val="36"/>
          <w:lang w:eastAsia="zh-CN"/>
        </w:rPr>
      </w:pPr>
      <w:bookmarkStart w:id="0" w:name="_Toc501284274"/>
      <w:bookmarkStart w:id="1" w:name="_Toc61862103"/>
      <w:r>
        <w:rPr>
          <w:rFonts w:hint="eastAsia" w:asciiTheme="minorEastAsia" w:hAnsiTheme="minorEastAsia" w:eastAsiaTheme="minorEastAsia"/>
          <w:bCs w:val="0"/>
          <w:color w:val="000000"/>
          <w:kern w:val="2"/>
          <w:sz w:val="28"/>
          <w:szCs w:val="28"/>
        </w:rPr>
        <w:t>采购</w:t>
      </w:r>
      <w:bookmarkEnd w:id="0"/>
      <w:bookmarkEnd w:id="1"/>
      <w:r>
        <w:rPr>
          <w:rFonts w:hint="eastAsia" w:asciiTheme="minorEastAsia" w:hAnsiTheme="minorEastAsia" w:eastAsiaTheme="minorEastAsia"/>
          <w:bCs w:val="0"/>
          <w:color w:val="000000"/>
          <w:kern w:val="2"/>
          <w:sz w:val="28"/>
          <w:szCs w:val="28"/>
          <w:lang w:eastAsia="zh-CN"/>
        </w:rPr>
        <w:t>公告</w:t>
      </w:r>
    </w:p>
    <w:p w14:paraId="503DA462">
      <w:pPr>
        <w:spacing w:line="360" w:lineRule="auto"/>
        <w:ind w:firstLine="560" w:firstLineChars="200"/>
        <w:rPr>
          <w:rFonts w:ascii="宋体" w:hAnsi="宋体" w:cs="宋体"/>
          <w:color w:val="auto"/>
          <w:kern w:val="0"/>
          <w:sz w:val="28"/>
          <w:szCs w:val="28"/>
        </w:rPr>
      </w:pPr>
      <w:r>
        <w:rPr>
          <w:rFonts w:hint="eastAsia" w:ascii="宋体" w:hAnsi="宋体" w:cs="宋体"/>
          <w:color w:val="auto"/>
          <w:kern w:val="0"/>
          <w:sz w:val="28"/>
          <w:szCs w:val="28"/>
        </w:rPr>
        <w:t>中铝中州铝业有限公司</w:t>
      </w:r>
      <w:r>
        <w:rPr>
          <w:rFonts w:hint="eastAsia" w:ascii="宋体" w:hAnsi="宋体" w:cs="宋体"/>
          <w:color w:val="auto"/>
          <w:kern w:val="0"/>
          <w:sz w:val="28"/>
          <w:szCs w:val="28"/>
          <w:lang w:val="en-US" w:eastAsia="zh-CN"/>
        </w:rPr>
        <w:t>装备保障中心</w:t>
      </w:r>
      <w:r>
        <w:rPr>
          <w:rFonts w:hint="eastAsia" w:ascii="宋体" w:hAnsi="宋体" w:cs="宋体"/>
          <w:color w:val="auto"/>
          <w:kern w:val="0"/>
          <w:sz w:val="28"/>
          <w:szCs w:val="28"/>
        </w:rPr>
        <w:t>（以下简称采购单位）拟对</w:t>
      </w:r>
      <w:r>
        <w:rPr>
          <w:rFonts w:hint="eastAsia" w:ascii="宋体" w:hAnsi="宋体" w:cs="宋体"/>
          <w:color w:val="auto"/>
          <w:kern w:val="0"/>
          <w:sz w:val="28"/>
          <w:szCs w:val="28"/>
          <w:lang w:eastAsia="zh-CN"/>
        </w:rPr>
        <w:t>尾矿库压实度检测技术服务</w:t>
      </w:r>
      <w:r>
        <w:rPr>
          <w:rFonts w:hint="eastAsia" w:ascii="宋体" w:hAnsi="宋体" w:cs="宋体"/>
          <w:color w:val="auto"/>
          <w:kern w:val="0"/>
          <w:sz w:val="28"/>
          <w:szCs w:val="28"/>
        </w:rPr>
        <w:t>进行公开询比采购，现邀请国内符合资格条件和有同类项目良好业绩的供应商参加该项目。</w:t>
      </w:r>
    </w:p>
    <w:p w14:paraId="36C32125">
      <w:pPr>
        <w:spacing w:line="480" w:lineRule="exact"/>
        <w:ind w:firstLine="140" w:firstLineChars="50"/>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rPr>
        <w:t>1、采购编号：</w:t>
      </w:r>
    </w:p>
    <w:p w14:paraId="64ED27A8">
      <w:pPr>
        <w:spacing w:line="480" w:lineRule="exact"/>
        <w:ind w:firstLine="140" w:firstLineChars="50"/>
        <w:rPr>
          <w:rFonts w:ascii="宋体" w:hAnsi="宋体" w:cs="宋体"/>
          <w:color w:val="000000"/>
          <w:kern w:val="0"/>
          <w:sz w:val="28"/>
          <w:szCs w:val="28"/>
        </w:rPr>
      </w:pPr>
      <w:r>
        <w:rPr>
          <w:rFonts w:hint="eastAsia" w:ascii="宋体" w:hAnsi="宋体" w:cs="宋体"/>
          <w:color w:val="000000"/>
          <w:kern w:val="0"/>
          <w:sz w:val="28"/>
          <w:szCs w:val="28"/>
        </w:rPr>
        <w:t>2、采购名称、内容：</w:t>
      </w:r>
    </w:p>
    <w:tbl>
      <w:tblPr>
        <w:tblStyle w:val="5"/>
        <w:tblW w:w="8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2400"/>
        <w:gridCol w:w="2700"/>
        <w:gridCol w:w="913"/>
        <w:gridCol w:w="1628"/>
      </w:tblGrid>
      <w:tr w14:paraId="6E119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45A37D89">
            <w:pPr>
              <w:jc w:val="center"/>
              <w:rPr>
                <w:rFonts w:ascii="宋体" w:hAnsi="宋体"/>
                <w:sz w:val="28"/>
                <w:szCs w:val="28"/>
              </w:rPr>
            </w:pPr>
            <w:r>
              <w:rPr>
                <w:rFonts w:hint="eastAsia" w:ascii="宋体" w:hAnsi="宋体"/>
                <w:sz w:val="28"/>
                <w:szCs w:val="28"/>
              </w:rPr>
              <w:t>标号</w:t>
            </w:r>
          </w:p>
        </w:tc>
        <w:tc>
          <w:tcPr>
            <w:tcW w:w="2400" w:type="dxa"/>
            <w:tcBorders>
              <w:top w:val="single" w:color="auto" w:sz="4" w:space="0"/>
              <w:left w:val="single" w:color="auto" w:sz="4" w:space="0"/>
              <w:bottom w:val="single" w:color="auto" w:sz="4" w:space="0"/>
              <w:right w:val="single" w:color="auto" w:sz="4" w:space="0"/>
            </w:tcBorders>
            <w:vAlign w:val="center"/>
          </w:tcPr>
          <w:p w14:paraId="101ED741">
            <w:pPr>
              <w:jc w:val="center"/>
              <w:rPr>
                <w:rFonts w:ascii="宋体" w:hAnsi="宋体"/>
                <w:sz w:val="28"/>
                <w:szCs w:val="28"/>
              </w:rPr>
            </w:pPr>
            <w:r>
              <w:rPr>
                <w:rFonts w:hint="eastAsia" w:ascii="宋体" w:hAnsi="宋体"/>
                <w:sz w:val="28"/>
                <w:szCs w:val="28"/>
              </w:rPr>
              <w:t>名称</w:t>
            </w:r>
          </w:p>
        </w:tc>
        <w:tc>
          <w:tcPr>
            <w:tcW w:w="2700" w:type="dxa"/>
            <w:tcBorders>
              <w:top w:val="single" w:color="auto" w:sz="4" w:space="0"/>
              <w:left w:val="single" w:color="auto" w:sz="4" w:space="0"/>
              <w:bottom w:val="single" w:color="auto" w:sz="4" w:space="0"/>
              <w:right w:val="single" w:color="auto" w:sz="4" w:space="0"/>
            </w:tcBorders>
            <w:vAlign w:val="center"/>
          </w:tcPr>
          <w:p w14:paraId="1789E3EE">
            <w:pPr>
              <w:jc w:val="center"/>
              <w:rPr>
                <w:rFonts w:ascii="宋体" w:hAnsi="宋体"/>
                <w:sz w:val="28"/>
                <w:szCs w:val="28"/>
              </w:rPr>
            </w:pPr>
            <w:r>
              <w:rPr>
                <w:rFonts w:hint="eastAsia" w:ascii="宋体" w:hAnsi="宋体"/>
                <w:sz w:val="28"/>
                <w:szCs w:val="28"/>
                <w:lang w:val="en-US" w:eastAsia="zh-CN"/>
              </w:rPr>
              <w:t>主要</w:t>
            </w:r>
            <w:r>
              <w:rPr>
                <w:rFonts w:hint="eastAsia" w:ascii="宋体" w:hAnsi="宋体"/>
                <w:sz w:val="28"/>
                <w:szCs w:val="28"/>
              </w:rPr>
              <w:t>内容</w:t>
            </w:r>
          </w:p>
        </w:tc>
        <w:tc>
          <w:tcPr>
            <w:tcW w:w="913" w:type="dxa"/>
            <w:tcBorders>
              <w:top w:val="single" w:color="auto" w:sz="4" w:space="0"/>
              <w:left w:val="single" w:color="auto" w:sz="4" w:space="0"/>
              <w:bottom w:val="single" w:color="auto" w:sz="4" w:space="0"/>
              <w:right w:val="single" w:color="auto" w:sz="4" w:space="0"/>
            </w:tcBorders>
            <w:vAlign w:val="center"/>
          </w:tcPr>
          <w:p w14:paraId="124CEE8F">
            <w:pPr>
              <w:jc w:val="center"/>
              <w:rPr>
                <w:rFonts w:ascii="宋体" w:hAnsi="宋体"/>
                <w:sz w:val="28"/>
                <w:szCs w:val="28"/>
              </w:rPr>
            </w:pPr>
            <w:r>
              <w:rPr>
                <w:rFonts w:hint="eastAsia" w:ascii="宋体" w:hAnsi="宋体"/>
                <w:sz w:val="28"/>
                <w:szCs w:val="28"/>
              </w:rPr>
              <w:t>期限</w:t>
            </w:r>
          </w:p>
        </w:tc>
        <w:tc>
          <w:tcPr>
            <w:tcW w:w="1628" w:type="dxa"/>
            <w:tcBorders>
              <w:top w:val="single" w:color="auto" w:sz="4" w:space="0"/>
              <w:left w:val="single" w:color="auto" w:sz="4" w:space="0"/>
              <w:bottom w:val="single" w:color="auto" w:sz="4" w:space="0"/>
              <w:right w:val="single" w:color="auto" w:sz="4" w:space="0"/>
            </w:tcBorders>
            <w:vAlign w:val="center"/>
          </w:tcPr>
          <w:p w14:paraId="355CD9DE">
            <w:pPr>
              <w:jc w:val="center"/>
              <w:rPr>
                <w:rFonts w:ascii="宋体" w:hAnsi="宋体"/>
                <w:sz w:val="28"/>
                <w:szCs w:val="28"/>
              </w:rPr>
            </w:pPr>
            <w:r>
              <w:rPr>
                <w:rFonts w:hint="eastAsia" w:ascii="宋体" w:hAnsi="宋体"/>
                <w:sz w:val="28"/>
                <w:szCs w:val="28"/>
              </w:rPr>
              <w:t>交货地点</w:t>
            </w:r>
          </w:p>
        </w:tc>
      </w:tr>
      <w:tr w14:paraId="3CA29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2C62362B">
            <w:pPr>
              <w:jc w:val="center"/>
              <w:rPr>
                <w:rFonts w:ascii="宋体" w:hAnsi="宋体"/>
                <w:sz w:val="28"/>
                <w:szCs w:val="28"/>
              </w:rPr>
            </w:pPr>
            <w:r>
              <w:rPr>
                <w:rFonts w:hint="eastAsia" w:ascii="宋体" w:hAnsi="宋体"/>
                <w:sz w:val="28"/>
                <w:szCs w:val="28"/>
              </w:rPr>
              <w:t>1</w:t>
            </w:r>
          </w:p>
        </w:tc>
        <w:tc>
          <w:tcPr>
            <w:tcW w:w="2400" w:type="dxa"/>
            <w:tcBorders>
              <w:top w:val="single" w:color="auto" w:sz="4" w:space="0"/>
              <w:left w:val="single" w:color="auto" w:sz="4" w:space="0"/>
              <w:bottom w:val="single" w:color="auto" w:sz="4" w:space="0"/>
              <w:right w:val="single" w:color="auto" w:sz="4" w:space="0"/>
            </w:tcBorders>
            <w:vAlign w:val="center"/>
          </w:tcPr>
          <w:p w14:paraId="329C1E7C">
            <w:pPr>
              <w:adjustRightInd w:val="0"/>
              <w:snapToGrid w:val="0"/>
              <w:spacing w:line="300" w:lineRule="auto"/>
              <w:jc w:val="center"/>
              <w:rPr>
                <w:rFonts w:ascii="宋体" w:hAnsi="宋体"/>
                <w:sz w:val="28"/>
                <w:szCs w:val="28"/>
              </w:rPr>
            </w:pPr>
            <w:r>
              <w:rPr>
                <w:rFonts w:hint="eastAsia" w:ascii="宋体" w:hAnsi="宋体" w:cs="宋体"/>
                <w:color w:val="auto"/>
                <w:kern w:val="0"/>
                <w:sz w:val="28"/>
                <w:szCs w:val="28"/>
                <w:lang w:eastAsia="zh-CN"/>
              </w:rPr>
              <w:t>尾矿库压实度检测技术服务</w:t>
            </w:r>
          </w:p>
        </w:tc>
        <w:tc>
          <w:tcPr>
            <w:tcW w:w="2700" w:type="dxa"/>
            <w:tcBorders>
              <w:top w:val="single" w:color="auto" w:sz="4" w:space="0"/>
              <w:left w:val="single" w:color="auto" w:sz="4" w:space="0"/>
              <w:bottom w:val="single" w:color="auto" w:sz="4" w:space="0"/>
              <w:right w:val="single" w:color="auto" w:sz="4" w:space="0"/>
            </w:tcBorders>
            <w:vAlign w:val="center"/>
          </w:tcPr>
          <w:p w14:paraId="749AEE0D">
            <w:pPr>
              <w:adjustRightInd w:val="0"/>
              <w:snapToGrid w:val="0"/>
              <w:jc w:val="center"/>
              <w:rPr>
                <w:rFonts w:hint="default" w:ascii="宋体" w:hAnsi="宋体" w:cs="宋体"/>
                <w:color w:val="000000"/>
                <w:kern w:val="0"/>
                <w:sz w:val="28"/>
                <w:szCs w:val="28"/>
                <w:lang w:val="en-US"/>
              </w:rPr>
            </w:pPr>
            <w:r>
              <w:rPr>
                <w:rFonts w:hint="eastAsia" w:ascii="宋体" w:hAnsi="宋体" w:cs="宋体"/>
                <w:color w:val="000000"/>
                <w:kern w:val="0"/>
                <w:sz w:val="28"/>
                <w:szCs w:val="28"/>
                <w:lang w:val="en-US" w:eastAsia="zh-CN"/>
              </w:rPr>
              <w:t>见12、</w:t>
            </w:r>
            <w:r>
              <w:rPr>
                <w:rFonts w:hint="eastAsia" w:asciiTheme="minorEastAsia" w:hAnsiTheme="minorEastAsia" w:eastAsiaTheme="minorEastAsia"/>
                <w:bCs w:val="0"/>
                <w:color w:val="000000"/>
                <w:kern w:val="2"/>
                <w:sz w:val="28"/>
                <w:szCs w:val="28"/>
                <w:lang w:val="en-US" w:eastAsia="zh-CN"/>
              </w:rPr>
              <w:t>主要内容及技术要求</w:t>
            </w:r>
          </w:p>
        </w:tc>
        <w:tc>
          <w:tcPr>
            <w:tcW w:w="913" w:type="dxa"/>
            <w:tcBorders>
              <w:top w:val="single" w:color="auto" w:sz="4" w:space="0"/>
              <w:left w:val="single" w:color="auto" w:sz="4" w:space="0"/>
              <w:bottom w:val="single" w:color="auto" w:sz="4" w:space="0"/>
              <w:right w:val="single" w:color="auto" w:sz="4" w:space="0"/>
            </w:tcBorders>
            <w:vAlign w:val="center"/>
          </w:tcPr>
          <w:p w14:paraId="2DF42196">
            <w:pPr>
              <w:adjustRightInd w:val="0"/>
              <w:snapToGrid w:val="0"/>
              <w:spacing w:line="300" w:lineRule="auto"/>
              <w:jc w:val="center"/>
              <w:rPr>
                <w:rFonts w:hint="default" w:ascii="宋体" w:hAnsi="宋体"/>
                <w:sz w:val="28"/>
                <w:szCs w:val="28"/>
                <w:lang w:val="en-US"/>
              </w:rPr>
            </w:pPr>
            <w:r>
              <w:rPr>
                <w:rFonts w:hint="eastAsia" w:ascii="宋体" w:hAnsi="宋体"/>
                <w:sz w:val="28"/>
                <w:szCs w:val="28"/>
                <w:lang w:val="en-US" w:eastAsia="zh-CN"/>
              </w:rPr>
              <w:t>1年</w:t>
            </w:r>
          </w:p>
        </w:tc>
        <w:tc>
          <w:tcPr>
            <w:tcW w:w="1628" w:type="dxa"/>
            <w:tcBorders>
              <w:top w:val="single" w:color="auto" w:sz="4" w:space="0"/>
              <w:left w:val="single" w:color="auto" w:sz="4" w:space="0"/>
              <w:bottom w:val="single" w:color="auto" w:sz="4" w:space="0"/>
              <w:right w:val="single" w:color="auto" w:sz="4" w:space="0"/>
            </w:tcBorders>
            <w:vAlign w:val="center"/>
          </w:tcPr>
          <w:p w14:paraId="27BC2926">
            <w:pPr>
              <w:adjustRightInd w:val="0"/>
              <w:snapToGrid w:val="0"/>
              <w:spacing w:line="300" w:lineRule="auto"/>
              <w:jc w:val="both"/>
              <w:rPr>
                <w:rFonts w:hint="default" w:ascii="宋体" w:hAnsi="宋体" w:eastAsia="宋体"/>
                <w:sz w:val="28"/>
                <w:szCs w:val="28"/>
                <w:lang w:val="en-US" w:eastAsia="zh-CN"/>
              </w:rPr>
            </w:pPr>
            <w:r>
              <w:rPr>
                <w:rFonts w:hint="eastAsia" w:ascii="宋体" w:hAnsi="宋体"/>
                <w:sz w:val="28"/>
                <w:szCs w:val="28"/>
                <w:lang w:val="en-US" w:eastAsia="zh-CN"/>
              </w:rPr>
              <w:t>中州铝业装备保障中心尾矿区域</w:t>
            </w:r>
          </w:p>
        </w:tc>
      </w:tr>
    </w:tbl>
    <w:p w14:paraId="62F5C524">
      <w:pPr>
        <w:tabs>
          <w:tab w:val="left" w:pos="720"/>
        </w:tabs>
        <w:spacing w:line="360" w:lineRule="auto"/>
        <w:ind w:left="420" w:hanging="420" w:hangingChars="150"/>
        <w:rPr>
          <w:rFonts w:ascii="宋体" w:hAnsi="宋体" w:cs="宋体"/>
          <w:color w:val="000000"/>
          <w:kern w:val="0"/>
          <w:sz w:val="28"/>
          <w:szCs w:val="28"/>
        </w:rPr>
      </w:pPr>
      <w:r>
        <w:rPr>
          <w:rFonts w:hint="eastAsia" w:ascii="宋体" w:hAnsi="宋体" w:cs="宋体"/>
          <w:color w:val="000000"/>
          <w:kern w:val="0"/>
          <w:sz w:val="28"/>
          <w:szCs w:val="28"/>
        </w:rPr>
        <w:t>3、资金来源：企业自有资金。</w:t>
      </w:r>
    </w:p>
    <w:p w14:paraId="49E872B0">
      <w:pPr>
        <w:widowControl/>
        <w:shd w:val="clear" w:color="auto" w:fill="FFFFFF"/>
        <w:spacing w:line="360" w:lineRule="auto"/>
        <w:rPr>
          <w:rFonts w:ascii="宋体" w:hAnsi="宋体" w:cs="宋体"/>
          <w:color w:val="000000"/>
          <w:kern w:val="0"/>
          <w:sz w:val="28"/>
          <w:szCs w:val="28"/>
        </w:rPr>
      </w:pPr>
      <w:r>
        <w:rPr>
          <w:rFonts w:hint="eastAsia" w:ascii="宋体" w:hAnsi="宋体" w:cs="宋体"/>
          <w:color w:val="000000"/>
          <w:kern w:val="0"/>
          <w:sz w:val="28"/>
          <w:szCs w:val="28"/>
        </w:rPr>
        <w:t>4、</w:t>
      </w:r>
      <w:r>
        <w:rPr>
          <w:rFonts w:hint="eastAsia" w:ascii="宋体" w:hAnsi="宋体" w:cs="宋体"/>
          <w:color w:val="000000"/>
          <w:kern w:val="0"/>
          <w:sz w:val="28"/>
          <w:szCs w:val="28"/>
          <w:lang w:eastAsia="zh-CN"/>
        </w:rPr>
        <w:t>供应商</w:t>
      </w:r>
      <w:r>
        <w:rPr>
          <w:rFonts w:hint="eastAsia" w:ascii="宋体" w:hAnsi="宋体" w:cs="宋体"/>
          <w:color w:val="000000"/>
          <w:kern w:val="0"/>
          <w:sz w:val="28"/>
          <w:szCs w:val="28"/>
        </w:rPr>
        <w:t>资格必须符合下列要求：</w:t>
      </w:r>
    </w:p>
    <w:p w14:paraId="73F5A308">
      <w:pPr>
        <w:widowControl/>
        <w:shd w:val="clear" w:color="auto" w:fill="FFFFFF"/>
        <w:spacing w:line="360" w:lineRule="auto"/>
        <w:rPr>
          <w:rFonts w:hint="eastAsia" w:ascii="宋体" w:hAnsi="宋体" w:cs="宋体"/>
          <w:color w:val="auto"/>
          <w:kern w:val="0"/>
          <w:sz w:val="28"/>
          <w:szCs w:val="28"/>
        </w:rPr>
      </w:pPr>
      <w:r>
        <w:rPr>
          <w:rFonts w:hint="eastAsia" w:ascii="宋体" w:hAnsi="宋体" w:cs="宋体"/>
          <w:color w:val="000000"/>
          <w:kern w:val="0"/>
          <w:sz w:val="28"/>
          <w:szCs w:val="28"/>
        </w:rPr>
        <w:t>1）</w:t>
      </w:r>
      <w:r>
        <w:rPr>
          <w:rFonts w:hint="eastAsia" w:ascii="宋体" w:hAnsi="宋体" w:cs="宋体"/>
          <w:color w:val="auto"/>
          <w:kern w:val="0"/>
          <w:sz w:val="28"/>
          <w:szCs w:val="28"/>
        </w:rPr>
        <w:t>在中华人民共和国注册的具有法人资格的、有能力提供上述服务的供应商。需提供企业法人营业执照、税务登记证、组织机构代码证或三证合一新证、银行开户许可证</w:t>
      </w:r>
      <w:r>
        <w:rPr>
          <w:rFonts w:hint="eastAsia" w:ascii="宋体" w:hAnsi="宋体" w:eastAsia="宋体" w:cs="宋体"/>
          <w:b w:val="0"/>
          <w:bCs w:val="0"/>
          <w:color w:val="auto"/>
          <w:kern w:val="0"/>
          <w:sz w:val="28"/>
          <w:szCs w:val="28"/>
          <w:lang w:val="en-US" w:eastAsia="zh-CN" w:bidi="ar-SA"/>
        </w:rPr>
        <w:t>，</w:t>
      </w:r>
      <w:r>
        <w:rPr>
          <w:rFonts w:hint="eastAsia" w:cs="Times New Roman" w:asciiTheme="minorEastAsia" w:hAnsiTheme="minorEastAsia" w:eastAsiaTheme="minorEastAsia"/>
          <w:b w:val="0"/>
          <w:bCs w:val="0"/>
          <w:color w:val="auto"/>
          <w:sz w:val="28"/>
          <w:szCs w:val="28"/>
          <w:lang w:val="en-US" w:eastAsia="zh-CN"/>
        </w:rPr>
        <w:t>检验检测机构</w:t>
      </w:r>
      <w:r>
        <w:rPr>
          <w:rFonts w:hint="eastAsia" w:asciiTheme="minorEastAsia" w:hAnsiTheme="minorEastAsia" w:eastAsiaTheme="minorEastAsia"/>
          <w:b w:val="0"/>
          <w:bCs w:val="0"/>
          <w:color w:val="auto"/>
          <w:sz w:val="28"/>
          <w:szCs w:val="28"/>
          <w:lang w:eastAsia="zh-CN"/>
        </w:rPr>
        <w:t>资质</w:t>
      </w:r>
      <w:r>
        <w:rPr>
          <w:rFonts w:hint="eastAsia" w:asciiTheme="minorEastAsia" w:hAnsiTheme="minorEastAsia" w:eastAsiaTheme="minorEastAsia"/>
          <w:b w:val="0"/>
          <w:bCs w:val="0"/>
          <w:color w:val="auto"/>
          <w:sz w:val="28"/>
          <w:szCs w:val="28"/>
          <w:lang w:val="en-US" w:eastAsia="zh-CN"/>
        </w:rPr>
        <w:t>认定证书，</w:t>
      </w:r>
      <w:r>
        <w:rPr>
          <w:rFonts w:hint="eastAsia" w:ascii="宋体" w:hAnsi="宋体" w:eastAsia="宋体" w:cs="宋体"/>
          <w:b w:val="0"/>
          <w:bCs w:val="0"/>
          <w:color w:val="auto"/>
          <w:kern w:val="0"/>
          <w:sz w:val="28"/>
          <w:szCs w:val="28"/>
          <w:lang w:val="en-US" w:eastAsia="zh-CN" w:bidi="ar-SA"/>
        </w:rPr>
        <w:t>并加盖单位公章</w:t>
      </w:r>
      <w:r>
        <w:rPr>
          <w:rFonts w:hint="eastAsia" w:ascii="宋体" w:hAnsi="宋体" w:cs="宋体"/>
          <w:b w:val="0"/>
          <w:bCs w:val="0"/>
          <w:color w:val="auto"/>
          <w:kern w:val="0"/>
          <w:sz w:val="28"/>
          <w:szCs w:val="28"/>
          <w:lang w:val="en-US" w:eastAsia="zh-CN" w:bidi="ar-SA"/>
        </w:rPr>
        <w:t>；</w:t>
      </w:r>
    </w:p>
    <w:p w14:paraId="1E2BB538">
      <w:pPr>
        <w:widowControl/>
        <w:shd w:val="clear" w:color="auto" w:fill="FFFFFF"/>
        <w:spacing w:line="360" w:lineRule="auto"/>
        <w:rPr>
          <w:rFonts w:hint="eastAsia" w:ascii="宋体" w:hAnsi="宋体" w:cs="宋体"/>
          <w:color w:val="000000"/>
          <w:kern w:val="0"/>
          <w:sz w:val="28"/>
          <w:szCs w:val="28"/>
        </w:rPr>
      </w:pPr>
      <w:r>
        <w:rPr>
          <w:rFonts w:hint="eastAsia" w:ascii="宋体" w:hAnsi="宋体" w:cs="宋体"/>
          <w:color w:val="000000"/>
          <w:kern w:val="0"/>
          <w:sz w:val="28"/>
          <w:szCs w:val="28"/>
        </w:rPr>
        <w:t>2）具有良好的商业信誉和健全的财务会计制度，提供最新年度的财务报表或银行资信证明；</w:t>
      </w:r>
    </w:p>
    <w:p w14:paraId="3A388C91">
      <w:pPr>
        <w:tabs>
          <w:tab w:val="left" w:pos="720"/>
        </w:tabs>
        <w:spacing w:line="360" w:lineRule="auto"/>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rPr>
        <w:t>3）参加采购报价活动前三年之内在经营活动中没有重大违法记录（工亡、涉嫌造假的记录）</w:t>
      </w:r>
      <w:r>
        <w:rPr>
          <w:rFonts w:hint="eastAsia" w:ascii="宋体" w:hAnsi="宋体" w:cs="宋体"/>
          <w:color w:val="000000"/>
          <w:kern w:val="0"/>
          <w:sz w:val="28"/>
          <w:szCs w:val="28"/>
          <w:lang w:eastAsia="zh-CN"/>
        </w:rPr>
        <w:t>；</w:t>
      </w:r>
    </w:p>
    <w:p w14:paraId="1EAF0542">
      <w:pPr>
        <w:tabs>
          <w:tab w:val="left" w:pos="720"/>
        </w:tabs>
        <w:spacing w:line="360" w:lineRule="auto"/>
        <w:rPr>
          <w:rFonts w:hint="eastAsia" w:ascii="宋体" w:hAnsi="宋体" w:cs="宋体"/>
          <w:color w:val="000000"/>
          <w:kern w:val="0"/>
          <w:sz w:val="28"/>
          <w:szCs w:val="28"/>
        </w:rPr>
      </w:pPr>
      <w:r>
        <w:rPr>
          <w:rFonts w:hint="eastAsia" w:ascii="宋体" w:hAnsi="宋体" w:cs="宋体"/>
          <w:color w:val="000000"/>
          <w:kern w:val="0"/>
          <w:sz w:val="28"/>
          <w:szCs w:val="28"/>
        </w:rPr>
        <w:t>4）有从事类似服务的经验或业绩，提供合同或其他证明材料；</w:t>
      </w:r>
    </w:p>
    <w:p w14:paraId="27E73DF8">
      <w:pPr>
        <w:tabs>
          <w:tab w:val="left" w:pos="720"/>
        </w:tabs>
        <w:spacing w:line="360" w:lineRule="auto"/>
        <w:rPr>
          <w:rFonts w:hint="eastAsia" w:ascii="宋体" w:hAnsi="宋体" w:cs="宋体"/>
          <w:color w:val="000000"/>
          <w:kern w:val="0"/>
          <w:sz w:val="28"/>
          <w:szCs w:val="28"/>
        </w:rPr>
      </w:pPr>
      <w:r>
        <w:rPr>
          <w:rFonts w:hint="eastAsia" w:ascii="宋体" w:hAnsi="宋体" w:cs="宋体"/>
          <w:color w:val="000000"/>
          <w:kern w:val="0"/>
          <w:sz w:val="28"/>
          <w:szCs w:val="28"/>
        </w:rPr>
        <w:t>5）本项目不接受联合体报价；</w:t>
      </w:r>
    </w:p>
    <w:p w14:paraId="59B396E8">
      <w:pPr>
        <w:tabs>
          <w:tab w:val="left" w:pos="720"/>
        </w:tabs>
        <w:spacing w:line="360" w:lineRule="auto"/>
        <w:rPr>
          <w:rFonts w:hint="eastAsia" w:ascii="宋体" w:hAnsi="宋体" w:cs="宋体"/>
          <w:color w:val="000000"/>
          <w:kern w:val="0"/>
          <w:sz w:val="28"/>
          <w:szCs w:val="28"/>
        </w:rPr>
      </w:pPr>
      <w:r>
        <w:rPr>
          <w:rFonts w:hint="eastAsia" w:ascii="宋体" w:hAnsi="宋体" w:cs="宋体"/>
          <w:color w:val="000000"/>
          <w:kern w:val="0"/>
          <w:sz w:val="28"/>
          <w:szCs w:val="28"/>
        </w:rPr>
        <w:t>6）法律、行政法规规定的其他条件；</w:t>
      </w:r>
    </w:p>
    <w:p w14:paraId="3AAA90B3">
      <w:pPr>
        <w:tabs>
          <w:tab w:val="left" w:pos="720"/>
        </w:tabs>
        <w:spacing w:line="360" w:lineRule="auto"/>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rPr>
        <w:t>7）禁止被列入国家失信被执行人名单或中铝集团禁入名单或当年或上一年度税务信用等级为D级的服务商参与该采购活动；如因服务商单方原因违约，导致与中州企业所签订合同无法正常履行的，三年内不得参与该采购活动</w:t>
      </w:r>
      <w:r>
        <w:rPr>
          <w:rFonts w:hint="eastAsia" w:ascii="宋体" w:hAnsi="宋体" w:cs="宋体"/>
          <w:color w:val="000000"/>
          <w:kern w:val="0"/>
          <w:sz w:val="28"/>
          <w:szCs w:val="28"/>
          <w:lang w:eastAsia="zh-CN"/>
        </w:rPr>
        <w:t>；</w:t>
      </w:r>
    </w:p>
    <w:p w14:paraId="1DC00345">
      <w:pPr>
        <w:tabs>
          <w:tab w:val="left" w:pos="720"/>
        </w:tabs>
        <w:spacing w:line="360" w:lineRule="auto"/>
        <w:rPr>
          <w:rFonts w:hint="eastAsia" w:ascii="宋体" w:hAnsi="宋体" w:cs="宋体"/>
          <w:color w:val="000000"/>
          <w:kern w:val="0"/>
          <w:sz w:val="28"/>
          <w:szCs w:val="28"/>
        </w:rPr>
      </w:pPr>
      <w:r>
        <w:rPr>
          <w:rFonts w:hint="eastAsia" w:ascii="宋体" w:hAnsi="宋体" w:cs="宋体"/>
          <w:color w:val="000000"/>
          <w:kern w:val="0"/>
          <w:sz w:val="28"/>
          <w:szCs w:val="28"/>
        </w:rPr>
        <w:t>8）报价人应当为一般纳税人，具有开具增值税专用发票的能力；</w:t>
      </w:r>
    </w:p>
    <w:p w14:paraId="798CE989">
      <w:pPr>
        <w:tabs>
          <w:tab w:val="left" w:pos="720"/>
        </w:tabs>
        <w:spacing w:line="360" w:lineRule="auto"/>
        <w:rPr>
          <w:rFonts w:hint="eastAsia" w:ascii="宋体" w:hAnsi="宋体" w:cs="宋体"/>
          <w:color w:val="000000"/>
          <w:kern w:val="0"/>
          <w:sz w:val="28"/>
          <w:szCs w:val="28"/>
          <w:lang w:eastAsia="zh-CN"/>
        </w:rPr>
      </w:pPr>
      <w:r>
        <w:rPr>
          <w:rFonts w:hint="eastAsia" w:ascii="宋体" w:hAnsi="宋体" w:cs="宋体"/>
          <w:color w:val="000000"/>
          <w:kern w:val="0"/>
          <w:sz w:val="28"/>
          <w:szCs w:val="28"/>
        </w:rPr>
        <w:t>9）配置施工管理机构，如安全员、施工员等</w:t>
      </w:r>
      <w:r>
        <w:rPr>
          <w:rFonts w:hint="eastAsia" w:ascii="宋体" w:hAnsi="宋体" w:cs="宋体"/>
          <w:color w:val="000000"/>
          <w:kern w:val="0"/>
          <w:sz w:val="28"/>
          <w:szCs w:val="28"/>
          <w:lang w:eastAsia="zh-CN"/>
        </w:rPr>
        <w:t>；</w:t>
      </w:r>
    </w:p>
    <w:p w14:paraId="743E90F4">
      <w:pPr>
        <w:tabs>
          <w:tab w:val="left" w:pos="720"/>
        </w:tabs>
        <w:spacing w:line="360" w:lineRule="auto"/>
        <w:rPr>
          <w:rFonts w:hint="eastAsia" w:ascii="宋体" w:hAnsi="宋体" w:cs="宋体"/>
          <w:color w:val="000000"/>
          <w:kern w:val="0"/>
          <w:sz w:val="28"/>
          <w:szCs w:val="28"/>
        </w:rPr>
      </w:pPr>
      <w:r>
        <w:rPr>
          <w:rFonts w:hint="eastAsia" w:ascii="宋体" w:hAnsi="宋体" w:cs="宋体"/>
          <w:color w:val="000000"/>
          <w:kern w:val="0"/>
          <w:sz w:val="28"/>
          <w:szCs w:val="28"/>
          <w:lang w:val="en-US" w:eastAsia="zh-CN"/>
        </w:rPr>
        <w:t>10</w:t>
      </w:r>
      <w:r>
        <w:rPr>
          <w:rFonts w:hint="eastAsia" w:ascii="宋体" w:hAnsi="宋体" w:cs="宋体"/>
          <w:color w:val="000000"/>
          <w:kern w:val="0"/>
          <w:sz w:val="28"/>
          <w:szCs w:val="28"/>
        </w:rPr>
        <w:t>）参加报价人员身体健康，无疾病；</w:t>
      </w:r>
    </w:p>
    <w:p w14:paraId="07A6CD02">
      <w:pPr>
        <w:tabs>
          <w:tab w:val="left" w:pos="720"/>
        </w:tabs>
        <w:spacing w:line="360" w:lineRule="auto"/>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11）</w:t>
      </w:r>
      <w:r>
        <w:rPr>
          <w:rFonts w:hint="eastAsia" w:ascii="宋体" w:hAnsi="宋体" w:cs="宋体"/>
          <w:color w:val="000000"/>
          <w:kern w:val="0"/>
          <w:sz w:val="28"/>
          <w:szCs w:val="28"/>
        </w:rPr>
        <w:t>供应商用工年龄应当年满18周岁且男员工不超过6</w:t>
      </w:r>
      <w:r>
        <w:rPr>
          <w:rFonts w:hint="eastAsia" w:ascii="宋体" w:hAnsi="宋体" w:cs="宋体"/>
          <w:color w:val="000000"/>
          <w:kern w:val="0"/>
          <w:sz w:val="28"/>
          <w:szCs w:val="28"/>
          <w:lang w:val="en-US" w:eastAsia="zh-CN"/>
        </w:rPr>
        <w:t>3</w:t>
      </w:r>
      <w:r>
        <w:rPr>
          <w:rFonts w:hint="eastAsia" w:ascii="宋体" w:hAnsi="宋体" w:cs="宋体"/>
          <w:color w:val="000000"/>
          <w:kern w:val="0"/>
          <w:sz w:val="28"/>
          <w:szCs w:val="28"/>
        </w:rPr>
        <w:t>周岁，女员工不超过5</w:t>
      </w:r>
      <w:r>
        <w:rPr>
          <w:rFonts w:hint="eastAsia" w:ascii="宋体" w:hAnsi="宋体" w:cs="宋体"/>
          <w:color w:val="000000"/>
          <w:kern w:val="0"/>
          <w:sz w:val="28"/>
          <w:szCs w:val="28"/>
          <w:lang w:val="en-US" w:eastAsia="zh-CN"/>
        </w:rPr>
        <w:t>5</w:t>
      </w:r>
      <w:r>
        <w:rPr>
          <w:rFonts w:hint="eastAsia" w:ascii="宋体" w:hAnsi="宋体" w:cs="宋体"/>
          <w:color w:val="000000"/>
          <w:kern w:val="0"/>
          <w:sz w:val="28"/>
          <w:szCs w:val="28"/>
        </w:rPr>
        <w:t>岁，有双重劳动关系的人员不可使用</w:t>
      </w:r>
      <w:r>
        <w:rPr>
          <w:rFonts w:hint="eastAsia" w:ascii="宋体" w:hAnsi="宋体" w:cs="宋体"/>
          <w:color w:val="000000"/>
          <w:kern w:val="0"/>
          <w:sz w:val="28"/>
          <w:szCs w:val="28"/>
          <w:lang w:eastAsia="zh-CN"/>
        </w:rPr>
        <w:t>；</w:t>
      </w:r>
    </w:p>
    <w:p w14:paraId="49AF80D9">
      <w:pPr>
        <w:tabs>
          <w:tab w:val="left" w:pos="720"/>
        </w:tabs>
        <w:spacing w:line="360" w:lineRule="auto"/>
        <w:rPr>
          <w:rFonts w:hint="eastAsia" w:ascii="宋体" w:hAnsi="宋体" w:cs="宋体"/>
          <w:color w:val="000000"/>
          <w:kern w:val="0"/>
          <w:sz w:val="28"/>
          <w:szCs w:val="28"/>
        </w:rPr>
      </w:pPr>
      <w:r>
        <w:rPr>
          <w:rFonts w:hint="eastAsia" w:ascii="宋体" w:hAnsi="宋体" w:cs="宋体"/>
          <w:color w:val="000000"/>
          <w:kern w:val="0"/>
          <w:sz w:val="28"/>
          <w:szCs w:val="28"/>
          <w:lang w:val="en-US" w:eastAsia="zh-CN"/>
        </w:rPr>
        <w:t>12</w:t>
      </w:r>
      <w:r>
        <w:rPr>
          <w:rFonts w:hint="eastAsia" w:ascii="宋体" w:hAnsi="宋体" w:cs="宋体"/>
          <w:color w:val="000000"/>
          <w:kern w:val="0"/>
          <w:sz w:val="28"/>
          <w:szCs w:val="28"/>
        </w:rPr>
        <w:t>）供应商在承揽作业期间，更换人员比例不得高于用工总量的10%，若作业期间需更换作业人员，应事前先书面通知甲方并提供更换人员相关资料；</w:t>
      </w:r>
    </w:p>
    <w:p w14:paraId="6A997FEC">
      <w:pPr>
        <w:tabs>
          <w:tab w:val="left" w:pos="720"/>
        </w:tabs>
        <w:spacing w:line="360" w:lineRule="auto"/>
        <w:rPr>
          <w:rFonts w:hint="eastAsia"/>
          <w:lang w:eastAsia="zh-CN"/>
        </w:rPr>
      </w:pPr>
      <w:r>
        <w:rPr>
          <w:rFonts w:hint="eastAsia" w:ascii="宋体" w:hAnsi="宋体" w:cs="宋体"/>
          <w:color w:val="000000"/>
          <w:kern w:val="0"/>
          <w:sz w:val="28"/>
          <w:szCs w:val="28"/>
          <w:lang w:val="en-US" w:eastAsia="zh-CN"/>
        </w:rPr>
        <w:t>13</w:t>
      </w:r>
      <w:r>
        <w:rPr>
          <w:rFonts w:hint="eastAsia" w:ascii="宋体" w:hAnsi="宋体" w:cs="宋体"/>
          <w:color w:val="000000"/>
          <w:kern w:val="0"/>
          <w:sz w:val="28"/>
          <w:szCs w:val="28"/>
        </w:rPr>
        <w:t>）供应商同时段承揽多项任务时，现场禁止“共享员工”（不含管理和技术人员）</w:t>
      </w:r>
      <w:r>
        <w:rPr>
          <w:rFonts w:hint="eastAsia" w:ascii="宋体" w:hAnsi="宋体" w:cs="宋体"/>
          <w:color w:val="000000"/>
          <w:kern w:val="0"/>
          <w:sz w:val="28"/>
          <w:szCs w:val="28"/>
          <w:lang w:eastAsia="zh-CN"/>
        </w:rPr>
        <w:t>。</w:t>
      </w:r>
    </w:p>
    <w:p w14:paraId="2226606A">
      <w:pPr>
        <w:tabs>
          <w:tab w:val="left" w:pos="720"/>
        </w:tabs>
        <w:spacing w:line="360" w:lineRule="auto"/>
        <w:rPr>
          <w:rFonts w:hint="default" w:ascii="宋体" w:hAnsi="宋体" w:eastAsia="宋体" w:cs="宋体"/>
          <w:color w:val="auto"/>
          <w:kern w:val="0"/>
          <w:sz w:val="28"/>
          <w:szCs w:val="28"/>
          <w:highlight w:val="none"/>
          <w:lang w:val="en-US" w:eastAsia="zh-CN"/>
        </w:rPr>
      </w:pPr>
      <w:r>
        <w:rPr>
          <w:rFonts w:hint="eastAsia" w:ascii="宋体" w:hAnsi="宋体" w:eastAsia="宋体" w:cs="Times New Roman"/>
          <w:sz w:val="28"/>
          <w:szCs w:val="28"/>
          <w:lang w:val="en-US" w:eastAsia="zh-CN"/>
        </w:rPr>
        <w:t>5</w:t>
      </w:r>
      <w:r>
        <w:rPr>
          <w:rFonts w:hint="eastAsia" w:ascii="宋体" w:hAnsi="宋体" w:eastAsia="宋体" w:cs="Times New Roman"/>
          <w:sz w:val="28"/>
          <w:szCs w:val="28"/>
        </w:rPr>
        <w:t>、</w:t>
      </w:r>
      <w:r>
        <w:rPr>
          <w:rFonts w:hint="eastAsia" w:ascii="宋体" w:hAnsi="宋体" w:cs="Times New Roman"/>
          <w:sz w:val="28"/>
          <w:szCs w:val="28"/>
          <w:lang w:eastAsia="zh-CN"/>
        </w:rPr>
        <w:t>索取</w:t>
      </w:r>
      <w:r>
        <w:rPr>
          <w:rFonts w:hint="eastAsia" w:ascii="宋体" w:hAnsi="宋体" w:eastAsia="宋体" w:cs="Times New Roman"/>
          <w:sz w:val="28"/>
          <w:szCs w:val="28"/>
        </w:rPr>
        <w:t>文件时间：</w:t>
      </w:r>
      <w:r>
        <w:rPr>
          <w:rFonts w:hint="eastAsia" w:ascii="宋体" w:hAnsi="宋体" w:eastAsia="宋体" w:cs="Times New Roman"/>
          <w:color w:val="auto"/>
          <w:sz w:val="28"/>
          <w:szCs w:val="28"/>
          <w:highlight w:val="none"/>
        </w:rPr>
        <w:t>自202</w:t>
      </w:r>
      <w:r>
        <w:rPr>
          <w:rFonts w:hint="eastAsia" w:ascii="宋体" w:hAnsi="宋体" w:cs="Times New Roman"/>
          <w:color w:val="auto"/>
          <w:sz w:val="28"/>
          <w:szCs w:val="28"/>
          <w:highlight w:val="none"/>
          <w:lang w:val="en-US" w:eastAsia="zh-CN"/>
        </w:rPr>
        <w:t>5</w:t>
      </w:r>
      <w:r>
        <w:rPr>
          <w:rFonts w:hint="eastAsia" w:ascii="宋体" w:hAnsi="宋体" w:eastAsia="宋体" w:cs="Times New Roman"/>
          <w:color w:val="auto"/>
          <w:sz w:val="28"/>
          <w:szCs w:val="28"/>
          <w:highlight w:val="none"/>
        </w:rPr>
        <w:t>年</w:t>
      </w:r>
      <w:r>
        <w:rPr>
          <w:rFonts w:hint="eastAsia" w:ascii="宋体" w:hAnsi="宋体" w:cs="Times New Roman"/>
          <w:color w:val="auto"/>
          <w:sz w:val="28"/>
          <w:szCs w:val="28"/>
          <w:highlight w:val="none"/>
          <w:lang w:val="en-US" w:eastAsia="zh-CN"/>
        </w:rPr>
        <w:t>12</w:t>
      </w:r>
      <w:r>
        <w:rPr>
          <w:rFonts w:hint="eastAsia" w:ascii="宋体" w:hAnsi="宋体" w:eastAsia="宋体" w:cs="Times New Roman"/>
          <w:color w:val="auto"/>
          <w:sz w:val="28"/>
          <w:szCs w:val="28"/>
          <w:highlight w:val="none"/>
        </w:rPr>
        <w:t>月</w:t>
      </w:r>
      <w:r>
        <w:rPr>
          <w:rFonts w:hint="eastAsia" w:ascii="宋体" w:hAnsi="宋体" w:cs="Times New Roman"/>
          <w:color w:val="auto"/>
          <w:sz w:val="28"/>
          <w:szCs w:val="28"/>
          <w:highlight w:val="none"/>
          <w:lang w:val="en-US" w:eastAsia="zh-CN"/>
        </w:rPr>
        <w:t>13</w:t>
      </w:r>
      <w:r>
        <w:rPr>
          <w:rFonts w:hint="eastAsia" w:ascii="宋体" w:hAnsi="宋体" w:eastAsia="宋体" w:cs="Times New Roman"/>
          <w:color w:val="auto"/>
          <w:sz w:val="28"/>
          <w:szCs w:val="28"/>
          <w:highlight w:val="none"/>
        </w:rPr>
        <w:t>日至202</w:t>
      </w:r>
      <w:r>
        <w:rPr>
          <w:rFonts w:hint="eastAsia" w:ascii="宋体" w:hAnsi="宋体" w:cs="Times New Roman"/>
          <w:color w:val="auto"/>
          <w:sz w:val="28"/>
          <w:szCs w:val="28"/>
          <w:highlight w:val="none"/>
          <w:lang w:val="en-US" w:eastAsia="zh-CN"/>
        </w:rPr>
        <w:t>5</w:t>
      </w:r>
      <w:r>
        <w:rPr>
          <w:rFonts w:hint="eastAsia" w:ascii="宋体" w:hAnsi="宋体" w:eastAsia="宋体" w:cs="Times New Roman"/>
          <w:color w:val="auto"/>
          <w:sz w:val="28"/>
          <w:szCs w:val="28"/>
          <w:highlight w:val="none"/>
        </w:rPr>
        <w:t>年</w:t>
      </w:r>
      <w:r>
        <w:rPr>
          <w:rFonts w:hint="eastAsia" w:ascii="宋体" w:hAnsi="宋体" w:cs="Times New Roman"/>
          <w:color w:val="auto"/>
          <w:sz w:val="28"/>
          <w:szCs w:val="28"/>
          <w:highlight w:val="none"/>
          <w:lang w:val="en-US" w:eastAsia="zh-CN"/>
        </w:rPr>
        <w:t>12</w:t>
      </w:r>
      <w:r>
        <w:rPr>
          <w:rFonts w:hint="eastAsia" w:ascii="宋体" w:hAnsi="宋体" w:eastAsia="宋体" w:cs="Times New Roman"/>
          <w:color w:val="auto"/>
          <w:sz w:val="28"/>
          <w:szCs w:val="28"/>
          <w:highlight w:val="none"/>
        </w:rPr>
        <w:t>月</w:t>
      </w:r>
      <w:r>
        <w:rPr>
          <w:rFonts w:hint="eastAsia" w:ascii="宋体" w:hAnsi="宋体" w:cs="Times New Roman"/>
          <w:color w:val="auto"/>
          <w:sz w:val="28"/>
          <w:szCs w:val="28"/>
          <w:highlight w:val="none"/>
          <w:lang w:val="en-US" w:eastAsia="zh-CN"/>
        </w:rPr>
        <w:t>15</w:t>
      </w:r>
      <w:r>
        <w:rPr>
          <w:rFonts w:hint="eastAsia" w:ascii="宋体" w:hAnsi="宋体" w:eastAsia="宋体" w:cs="Times New Roman"/>
          <w:color w:val="auto"/>
          <w:sz w:val="28"/>
          <w:szCs w:val="28"/>
          <w:highlight w:val="none"/>
        </w:rPr>
        <w:t>日</w:t>
      </w:r>
    </w:p>
    <w:p w14:paraId="7829ECBD">
      <w:pPr>
        <w:spacing w:line="360" w:lineRule="auto"/>
        <w:rPr>
          <w:rFonts w:ascii="宋体" w:hAnsi="宋体" w:cs="宋体"/>
          <w:color w:val="auto"/>
          <w:kern w:val="0"/>
          <w:sz w:val="28"/>
          <w:szCs w:val="28"/>
          <w:highlight w:val="none"/>
        </w:rPr>
      </w:pPr>
      <w:r>
        <w:rPr>
          <w:rFonts w:hint="eastAsia" w:ascii="宋体" w:hAnsi="宋体" w:cs="宋体"/>
          <w:color w:val="auto"/>
          <w:kern w:val="0"/>
          <w:sz w:val="28"/>
          <w:szCs w:val="28"/>
          <w:highlight w:val="none"/>
          <w:lang w:val="en-US" w:eastAsia="zh-CN"/>
        </w:rPr>
        <w:t>6</w:t>
      </w:r>
      <w:r>
        <w:rPr>
          <w:rFonts w:hint="eastAsia" w:ascii="宋体" w:hAnsi="宋体" w:cs="宋体"/>
          <w:color w:val="auto"/>
          <w:kern w:val="0"/>
          <w:sz w:val="28"/>
          <w:szCs w:val="28"/>
          <w:highlight w:val="none"/>
        </w:rPr>
        <w:t>、报价文件递交截止时间：202</w:t>
      </w:r>
      <w:r>
        <w:rPr>
          <w:rFonts w:hint="eastAsia" w:ascii="宋体" w:hAnsi="宋体" w:cs="宋体"/>
          <w:color w:val="auto"/>
          <w:kern w:val="0"/>
          <w:sz w:val="28"/>
          <w:szCs w:val="28"/>
          <w:highlight w:val="none"/>
          <w:lang w:val="en-US" w:eastAsia="zh-CN"/>
        </w:rPr>
        <w:t>5</w:t>
      </w:r>
      <w:r>
        <w:rPr>
          <w:rFonts w:hint="eastAsia" w:ascii="宋体" w:hAnsi="宋体" w:cs="宋体"/>
          <w:color w:val="auto"/>
          <w:kern w:val="0"/>
          <w:sz w:val="28"/>
          <w:szCs w:val="28"/>
          <w:highlight w:val="none"/>
        </w:rPr>
        <w:t>年</w:t>
      </w:r>
      <w:r>
        <w:rPr>
          <w:rFonts w:hint="eastAsia" w:ascii="宋体" w:hAnsi="宋体" w:cs="宋体"/>
          <w:color w:val="auto"/>
          <w:kern w:val="0"/>
          <w:sz w:val="28"/>
          <w:szCs w:val="28"/>
          <w:highlight w:val="none"/>
          <w:lang w:val="en-US" w:eastAsia="zh-CN"/>
        </w:rPr>
        <w:t>12</w:t>
      </w:r>
      <w:r>
        <w:rPr>
          <w:rFonts w:hint="eastAsia" w:ascii="宋体" w:hAnsi="宋体" w:cs="宋体"/>
          <w:color w:val="auto"/>
          <w:kern w:val="0"/>
          <w:sz w:val="28"/>
          <w:szCs w:val="28"/>
          <w:highlight w:val="none"/>
        </w:rPr>
        <w:t>月</w:t>
      </w:r>
      <w:r>
        <w:rPr>
          <w:rFonts w:hint="eastAsia" w:ascii="宋体" w:hAnsi="宋体" w:cs="宋体"/>
          <w:color w:val="auto"/>
          <w:kern w:val="0"/>
          <w:sz w:val="28"/>
          <w:szCs w:val="28"/>
          <w:highlight w:val="none"/>
          <w:lang w:val="en-US" w:eastAsia="zh-CN"/>
        </w:rPr>
        <w:t>16</w:t>
      </w:r>
      <w:r>
        <w:rPr>
          <w:rFonts w:hint="eastAsia" w:ascii="宋体" w:hAnsi="宋体" w:cs="宋体"/>
          <w:color w:val="auto"/>
          <w:kern w:val="0"/>
          <w:sz w:val="28"/>
          <w:szCs w:val="28"/>
          <w:highlight w:val="none"/>
        </w:rPr>
        <w:t>日</w:t>
      </w:r>
      <w:r>
        <w:rPr>
          <w:rFonts w:hint="eastAsia" w:ascii="宋体" w:hAnsi="宋体" w:cs="宋体"/>
          <w:color w:val="auto"/>
          <w:kern w:val="0"/>
          <w:sz w:val="28"/>
          <w:szCs w:val="28"/>
          <w:highlight w:val="none"/>
          <w:lang w:val="en-US" w:eastAsia="zh-CN"/>
        </w:rPr>
        <w:t>上</w:t>
      </w:r>
      <w:r>
        <w:rPr>
          <w:rFonts w:hint="eastAsia" w:ascii="宋体" w:hAnsi="宋体" w:cs="宋体"/>
          <w:color w:val="auto"/>
          <w:kern w:val="0"/>
          <w:sz w:val="28"/>
          <w:szCs w:val="28"/>
          <w:highlight w:val="none"/>
        </w:rPr>
        <w:t>午</w:t>
      </w:r>
      <w:r>
        <w:rPr>
          <w:rFonts w:hint="eastAsia" w:ascii="宋体" w:hAnsi="宋体" w:cs="宋体"/>
          <w:color w:val="auto"/>
          <w:kern w:val="0"/>
          <w:sz w:val="28"/>
          <w:szCs w:val="28"/>
          <w:highlight w:val="none"/>
          <w:lang w:val="en-US" w:eastAsia="zh-CN"/>
        </w:rPr>
        <w:t>9:00</w:t>
      </w:r>
      <w:r>
        <w:rPr>
          <w:rFonts w:hint="eastAsia" w:ascii="宋体" w:hAnsi="宋体" w:cs="宋体"/>
          <w:color w:val="auto"/>
          <w:kern w:val="0"/>
          <w:sz w:val="28"/>
          <w:szCs w:val="28"/>
          <w:highlight w:val="none"/>
        </w:rPr>
        <w:t xml:space="preserve"> (北京时间)。逾期递交的报价文件不再受理。</w:t>
      </w:r>
    </w:p>
    <w:p w14:paraId="31F398E1">
      <w:pPr>
        <w:spacing w:line="360" w:lineRule="auto"/>
        <w:rPr>
          <w:rFonts w:ascii="宋体" w:hAnsi="宋体" w:cs="宋体"/>
          <w:color w:val="auto"/>
          <w:kern w:val="0"/>
          <w:sz w:val="28"/>
          <w:szCs w:val="28"/>
          <w:highlight w:val="none"/>
        </w:rPr>
      </w:pPr>
      <w:r>
        <w:rPr>
          <w:rFonts w:ascii="宋体" w:hAnsi="宋体" w:cs="宋体"/>
          <w:color w:val="auto"/>
          <w:kern w:val="0"/>
          <w:sz w:val="28"/>
          <w:szCs w:val="28"/>
          <w:highlight w:val="none"/>
        </w:rPr>
        <w:t>7</w:t>
      </w:r>
      <w:r>
        <w:rPr>
          <w:rFonts w:hint="eastAsia" w:ascii="宋体" w:hAnsi="宋体" w:cs="宋体"/>
          <w:color w:val="auto"/>
          <w:kern w:val="0"/>
          <w:sz w:val="28"/>
          <w:szCs w:val="28"/>
          <w:highlight w:val="none"/>
        </w:rPr>
        <w:t>、采购时间：202</w:t>
      </w:r>
      <w:r>
        <w:rPr>
          <w:rFonts w:hint="eastAsia" w:ascii="宋体" w:hAnsi="宋体" w:cs="宋体"/>
          <w:color w:val="auto"/>
          <w:kern w:val="0"/>
          <w:sz w:val="28"/>
          <w:szCs w:val="28"/>
          <w:highlight w:val="none"/>
          <w:lang w:val="en-US" w:eastAsia="zh-CN"/>
        </w:rPr>
        <w:t>5</w:t>
      </w:r>
      <w:r>
        <w:rPr>
          <w:rFonts w:hint="eastAsia" w:ascii="宋体" w:hAnsi="宋体" w:cs="宋体"/>
          <w:color w:val="auto"/>
          <w:kern w:val="0"/>
          <w:sz w:val="28"/>
          <w:szCs w:val="28"/>
          <w:highlight w:val="none"/>
        </w:rPr>
        <w:t>年</w:t>
      </w:r>
      <w:r>
        <w:rPr>
          <w:rFonts w:hint="eastAsia" w:ascii="宋体" w:hAnsi="宋体" w:cs="宋体"/>
          <w:color w:val="auto"/>
          <w:kern w:val="0"/>
          <w:sz w:val="28"/>
          <w:szCs w:val="28"/>
          <w:highlight w:val="none"/>
          <w:lang w:val="en-US" w:eastAsia="zh-CN"/>
        </w:rPr>
        <w:t>12</w:t>
      </w:r>
      <w:r>
        <w:rPr>
          <w:rFonts w:hint="eastAsia" w:ascii="宋体" w:hAnsi="宋体" w:cs="宋体"/>
          <w:color w:val="auto"/>
          <w:kern w:val="0"/>
          <w:sz w:val="28"/>
          <w:szCs w:val="28"/>
          <w:highlight w:val="none"/>
        </w:rPr>
        <w:t>月</w:t>
      </w:r>
      <w:r>
        <w:rPr>
          <w:rFonts w:hint="eastAsia" w:ascii="宋体" w:hAnsi="宋体" w:cs="宋体"/>
          <w:color w:val="auto"/>
          <w:kern w:val="0"/>
          <w:sz w:val="28"/>
          <w:szCs w:val="28"/>
          <w:highlight w:val="none"/>
          <w:lang w:val="en-US" w:eastAsia="zh-CN"/>
        </w:rPr>
        <w:t>16</w:t>
      </w:r>
      <w:r>
        <w:rPr>
          <w:rFonts w:hint="eastAsia" w:ascii="宋体" w:hAnsi="宋体" w:cs="宋体"/>
          <w:color w:val="auto"/>
          <w:kern w:val="0"/>
          <w:sz w:val="28"/>
          <w:szCs w:val="28"/>
          <w:highlight w:val="none"/>
        </w:rPr>
        <w:t>日</w:t>
      </w:r>
      <w:r>
        <w:rPr>
          <w:rFonts w:hint="eastAsia" w:ascii="宋体" w:hAnsi="宋体" w:cs="宋体"/>
          <w:color w:val="auto"/>
          <w:kern w:val="0"/>
          <w:sz w:val="28"/>
          <w:szCs w:val="28"/>
          <w:highlight w:val="none"/>
          <w:lang w:val="en-US" w:eastAsia="zh-CN"/>
        </w:rPr>
        <w:t>上</w:t>
      </w:r>
      <w:r>
        <w:rPr>
          <w:rFonts w:hint="eastAsia" w:ascii="宋体" w:hAnsi="宋体" w:cs="宋体"/>
          <w:color w:val="auto"/>
          <w:kern w:val="0"/>
          <w:sz w:val="28"/>
          <w:szCs w:val="28"/>
          <w:highlight w:val="none"/>
        </w:rPr>
        <w:t>午</w:t>
      </w:r>
      <w:r>
        <w:rPr>
          <w:rFonts w:hint="eastAsia" w:ascii="宋体" w:hAnsi="宋体" w:cs="宋体"/>
          <w:color w:val="auto"/>
          <w:kern w:val="0"/>
          <w:sz w:val="28"/>
          <w:szCs w:val="28"/>
          <w:highlight w:val="none"/>
          <w:lang w:val="en-US" w:eastAsia="zh-CN"/>
        </w:rPr>
        <w:t>9</w:t>
      </w:r>
      <w:r>
        <w:rPr>
          <w:rFonts w:hint="eastAsia" w:ascii="宋体" w:hAnsi="宋体" w:cs="宋体"/>
          <w:color w:val="auto"/>
          <w:kern w:val="0"/>
          <w:sz w:val="28"/>
          <w:szCs w:val="28"/>
          <w:highlight w:val="none"/>
          <w:lang w:eastAsia="zh-CN"/>
        </w:rPr>
        <w:t>：</w:t>
      </w:r>
      <w:r>
        <w:rPr>
          <w:rFonts w:hint="eastAsia" w:ascii="宋体" w:hAnsi="宋体" w:cs="宋体"/>
          <w:color w:val="auto"/>
          <w:kern w:val="0"/>
          <w:sz w:val="28"/>
          <w:szCs w:val="28"/>
          <w:highlight w:val="none"/>
          <w:lang w:val="en-US" w:eastAsia="zh-CN"/>
        </w:rPr>
        <w:t>00</w:t>
      </w:r>
      <w:r>
        <w:rPr>
          <w:rFonts w:hint="eastAsia" w:ascii="宋体" w:hAnsi="宋体" w:cs="宋体"/>
          <w:color w:val="auto"/>
          <w:kern w:val="0"/>
          <w:sz w:val="28"/>
          <w:szCs w:val="28"/>
          <w:highlight w:val="none"/>
        </w:rPr>
        <w:t>(北京时间)。</w:t>
      </w:r>
    </w:p>
    <w:p w14:paraId="17E953FC">
      <w:pPr>
        <w:spacing w:line="360" w:lineRule="auto"/>
        <w:rPr>
          <w:rFonts w:ascii="宋体" w:hAnsi="宋体" w:cs="宋体"/>
          <w:color w:val="000000"/>
          <w:kern w:val="0"/>
          <w:sz w:val="28"/>
          <w:szCs w:val="28"/>
          <w:highlight w:val="none"/>
        </w:rPr>
      </w:pPr>
      <w:r>
        <w:rPr>
          <w:rFonts w:ascii="宋体" w:hAnsi="宋体" w:cs="宋体"/>
          <w:color w:val="000000"/>
          <w:kern w:val="0"/>
          <w:sz w:val="28"/>
          <w:szCs w:val="28"/>
        </w:rPr>
        <w:t>8</w:t>
      </w:r>
      <w:r>
        <w:rPr>
          <w:rFonts w:hint="eastAsia" w:ascii="宋体" w:hAnsi="宋体" w:cs="宋体"/>
          <w:color w:val="000000"/>
          <w:kern w:val="0"/>
          <w:sz w:val="28"/>
          <w:szCs w:val="28"/>
        </w:rPr>
        <w:t>、采购地点：中铝中州铝业有限公司</w:t>
      </w:r>
      <w:r>
        <w:rPr>
          <w:rFonts w:hint="eastAsia" w:ascii="宋体" w:hAnsi="宋体" w:cs="宋体"/>
          <w:color w:val="000000"/>
          <w:kern w:val="0"/>
          <w:sz w:val="28"/>
          <w:szCs w:val="28"/>
          <w:lang w:val="en-US" w:eastAsia="zh-CN"/>
        </w:rPr>
        <w:t>装备保障中心</w:t>
      </w:r>
      <w:r>
        <w:rPr>
          <w:rFonts w:hint="eastAsia" w:ascii="宋体" w:hAnsi="宋体" w:cs="宋体"/>
          <w:color w:val="000000"/>
          <w:kern w:val="0"/>
          <w:sz w:val="28"/>
          <w:szCs w:val="28"/>
          <w:highlight w:val="none"/>
        </w:rPr>
        <w:t>。</w:t>
      </w:r>
    </w:p>
    <w:p w14:paraId="2296466C">
      <w:pPr>
        <w:spacing w:line="360" w:lineRule="auto"/>
        <w:rPr>
          <w:rFonts w:hint="eastAsia" w:ascii="宋体" w:hAnsi="宋体" w:eastAsia="宋体" w:cs="宋体"/>
          <w:color w:val="000000"/>
          <w:kern w:val="0"/>
          <w:sz w:val="28"/>
          <w:szCs w:val="28"/>
          <w:lang w:eastAsia="zh-CN"/>
        </w:rPr>
      </w:pPr>
      <w:r>
        <w:rPr>
          <w:rFonts w:ascii="宋体" w:hAnsi="宋体" w:cs="宋体"/>
          <w:color w:val="000000"/>
          <w:kern w:val="0"/>
          <w:sz w:val="28"/>
          <w:szCs w:val="28"/>
        </w:rPr>
        <w:t>9</w:t>
      </w:r>
      <w:r>
        <w:rPr>
          <w:rFonts w:hint="eastAsia" w:ascii="宋体" w:hAnsi="宋体" w:cs="宋体"/>
          <w:color w:val="000000"/>
          <w:kern w:val="0"/>
          <w:sz w:val="28"/>
          <w:szCs w:val="28"/>
        </w:rPr>
        <w:t>、采购人：中铝中州铝业有限公司</w:t>
      </w:r>
      <w:r>
        <w:rPr>
          <w:rFonts w:hint="eastAsia" w:ascii="宋体" w:hAnsi="宋体" w:cs="宋体"/>
          <w:color w:val="000000"/>
          <w:kern w:val="0"/>
          <w:sz w:val="28"/>
          <w:szCs w:val="28"/>
          <w:lang w:val="en-US" w:eastAsia="zh-CN"/>
        </w:rPr>
        <w:t>装备保障中心。</w:t>
      </w:r>
    </w:p>
    <w:p w14:paraId="74269D83">
      <w:pPr>
        <w:widowControl/>
        <w:spacing w:line="360" w:lineRule="auto"/>
        <w:ind w:firstLine="140" w:firstLineChars="50"/>
        <w:rPr>
          <w:rFonts w:ascii="宋体" w:hAnsi="宋体" w:cs="宋体"/>
          <w:color w:val="000000"/>
          <w:kern w:val="0"/>
          <w:sz w:val="28"/>
          <w:szCs w:val="28"/>
        </w:rPr>
      </w:pPr>
      <w:r>
        <w:rPr>
          <w:rFonts w:hint="eastAsia" w:ascii="宋体" w:hAnsi="宋体" w:cs="宋体"/>
          <w:color w:val="000000"/>
          <w:kern w:val="0"/>
          <w:sz w:val="28"/>
          <w:szCs w:val="28"/>
        </w:rPr>
        <w:t>地址：河南省修武县七贤镇中铝中州铝业有限公司</w:t>
      </w:r>
    </w:p>
    <w:p w14:paraId="1527BB41">
      <w:pPr>
        <w:widowControl/>
        <w:spacing w:line="360" w:lineRule="auto"/>
        <w:ind w:firstLine="140" w:firstLineChars="50"/>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邮编：454174</w:t>
      </w:r>
    </w:p>
    <w:p w14:paraId="1CF98B47">
      <w:pPr>
        <w:widowControl/>
        <w:spacing w:line="360" w:lineRule="auto"/>
        <w:ind w:firstLine="140" w:firstLineChars="50"/>
        <w:rPr>
          <w:rFonts w:hint="default" w:ascii="宋体" w:hAnsi="宋体" w:eastAsia="宋体" w:cs="宋体"/>
          <w:color w:val="000000"/>
          <w:kern w:val="0"/>
          <w:sz w:val="28"/>
          <w:szCs w:val="28"/>
          <w:highlight w:val="none"/>
          <w:lang w:val="en-US" w:eastAsia="zh-CN"/>
        </w:rPr>
      </w:pPr>
      <w:r>
        <w:rPr>
          <w:rFonts w:hint="eastAsia" w:ascii="宋体" w:hAnsi="宋体" w:cs="宋体"/>
          <w:color w:val="000000"/>
          <w:kern w:val="0"/>
          <w:sz w:val="28"/>
          <w:szCs w:val="28"/>
          <w:highlight w:val="none"/>
        </w:rPr>
        <w:t>联系人：</w:t>
      </w:r>
      <w:r>
        <w:rPr>
          <w:rFonts w:hint="eastAsia" w:ascii="宋体" w:hAnsi="宋体" w:cs="宋体"/>
          <w:color w:val="000000"/>
          <w:kern w:val="0"/>
          <w:sz w:val="28"/>
          <w:szCs w:val="28"/>
          <w:highlight w:val="none"/>
          <w:lang w:eastAsia="zh-CN"/>
        </w:rPr>
        <w:t>徐</w:t>
      </w:r>
      <w:r>
        <w:rPr>
          <w:rFonts w:hint="eastAsia" w:ascii="宋体" w:hAnsi="宋体" w:cs="宋体"/>
          <w:color w:val="000000"/>
          <w:kern w:val="0"/>
          <w:sz w:val="28"/>
          <w:szCs w:val="28"/>
          <w:highlight w:val="none"/>
        </w:rPr>
        <w:t xml:space="preserve">先生 </w:t>
      </w:r>
      <w:r>
        <w:rPr>
          <w:rFonts w:ascii="宋体" w:hAnsi="宋体" w:cs="宋体"/>
          <w:color w:val="000000"/>
          <w:kern w:val="0"/>
          <w:sz w:val="28"/>
          <w:szCs w:val="28"/>
          <w:highlight w:val="none"/>
        </w:rPr>
        <w:t xml:space="preserve"> </w:t>
      </w:r>
      <w:r>
        <w:rPr>
          <w:rFonts w:hint="eastAsia" w:ascii="宋体" w:hAnsi="宋体" w:cs="宋体"/>
          <w:color w:val="000000"/>
          <w:kern w:val="0"/>
          <w:sz w:val="28"/>
          <w:szCs w:val="28"/>
          <w:highlight w:val="none"/>
        </w:rPr>
        <w:t>电话：</w:t>
      </w:r>
      <w:r>
        <w:rPr>
          <w:rFonts w:hint="eastAsia" w:ascii="宋体" w:hAnsi="宋体" w:cs="宋体"/>
          <w:color w:val="000000"/>
          <w:kern w:val="0"/>
          <w:sz w:val="28"/>
          <w:szCs w:val="28"/>
          <w:highlight w:val="none"/>
          <w:lang w:val="en-US" w:eastAsia="zh-CN"/>
        </w:rPr>
        <w:t>15517761121</w:t>
      </w:r>
    </w:p>
    <w:p w14:paraId="77EF82AD">
      <w:pPr>
        <w:spacing w:line="360" w:lineRule="auto"/>
        <w:rPr>
          <w:rFonts w:ascii="宋体" w:hAnsi="宋体" w:cs="宋体"/>
          <w:color w:val="000000"/>
          <w:kern w:val="0"/>
          <w:sz w:val="28"/>
          <w:szCs w:val="28"/>
        </w:rPr>
      </w:pPr>
      <w:r>
        <w:rPr>
          <w:rFonts w:hint="eastAsia" w:ascii="宋体" w:hAnsi="宋体" w:cs="宋体"/>
          <w:color w:val="000000"/>
          <w:kern w:val="0"/>
          <w:sz w:val="28"/>
          <w:szCs w:val="28"/>
        </w:rPr>
        <w:t>1</w:t>
      </w:r>
      <w:r>
        <w:rPr>
          <w:rFonts w:ascii="宋体" w:hAnsi="宋体" w:cs="宋体"/>
          <w:color w:val="000000"/>
          <w:kern w:val="0"/>
          <w:sz w:val="28"/>
          <w:szCs w:val="28"/>
        </w:rPr>
        <w:t>0</w:t>
      </w:r>
      <w:r>
        <w:rPr>
          <w:rFonts w:hint="eastAsia" w:ascii="宋体" w:hAnsi="宋体" w:cs="宋体"/>
          <w:color w:val="000000"/>
          <w:kern w:val="0"/>
          <w:sz w:val="28"/>
          <w:szCs w:val="28"/>
        </w:rPr>
        <w:t>、发布媒体：我公司仅在中铝中州铝业有限公司网站（</w:t>
      </w:r>
      <w:r>
        <w:rPr>
          <w:rFonts w:hint="eastAsia" w:ascii="宋体" w:hAnsi="宋体" w:cs="宋体"/>
          <w:kern w:val="0"/>
          <w:sz w:val="28"/>
          <w:szCs w:val="28"/>
        </w:rPr>
        <w:t>https://zzly.chinalco.com.cn/</w:t>
      </w:r>
      <w:r>
        <w:rPr>
          <w:rFonts w:hint="eastAsia" w:ascii="宋体" w:hAnsi="宋体" w:cs="宋体"/>
          <w:color w:val="000000"/>
          <w:kern w:val="0"/>
          <w:sz w:val="28"/>
          <w:szCs w:val="28"/>
        </w:rPr>
        <w:t>）发布有关该项目的采购信息，我公司郑重提醒各报价人注意：与该项目相关采购事宜均须与我公司指定人员联系，我公司对任何转载信息及由此产生的后果均不承担任何责任。</w:t>
      </w:r>
    </w:p>
    <w:p w14:paraId="73AA3E60">
      <w:pPr>
        <w:tabs>
          <w:tab w:val="left" w:pos="720"/>
        </w:tabs>
        <w:spacing w:line="360" w:lineRule="auto"/>
        <w:rPr>
          <w:rFonts w:ascii="宋体" w:hAnsi="宋体" w:cs="宋体"/>
          <w:b/>
          <w:color w:val="000000"/>
          <w:kern w:val="0"/>
          <w:sz w:val="28"/>
          <w:szCs w:val="28"/>
        </w:rPr>
      </w:pPr>
      <w:r>
        <w:rPr>
          <w:rFonts w:hint="eastAsia" w:ascii="宋体" w:hAnsi="宋体"/>
          <w:sz w:val="28"/>
          <w:szCs w:val="28"/>
        </w:rPr>
        <w:t>1</w:t>
      </w:r>
      <w:r>
        <w:rPr>
          <w:rFonts w:ascii="宋体" w:hAnsi="宋体"/>
          <w:sz w:val="28"/>
          <w:szCs w:val="28"/>
        </w:rPr>
        <w:t>1</w:t>
      </w:r>
      <w:r>
        <w:rPr>
          <w:rFonts w:hint="eastAsia" w:ascii="宋体" w:hAnsi="宋体"/>
          <w:sz w:val="28"/>
          <w:szCs w:val="28"/>
        </w:rPr>
        <w:t>、</w:t>
      </w:r>
      <w:r>
        <w:rPr>
          <w:rFonts w:hint="eastAsia" w:ascii="宋体" w:hAnsi="宋体" w:cs="宋体"/>
          <w:b/>
          <w:color w:val="000000"/>
          <w:kern w:val="0"/>
          <w:sz w:val="28"/>
          <w:szCs w:val="28"/>
        </w:rPr>
        <w:t>采购监督投诉举报</w:t>
      </w:r>
    </w:p>
    <w:p w14:paraId="40A72799">
      <w:pPr>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投诉举报部门：中铝中州铝业有限公司纪委工作部</w:t>
      </w:r>
    </w:p>
    <w:p w14:paraId="315866D0">
      <w:pPr>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 xml:space="preserve">电话：0391-3503580  </w:t>
      </w:r>
    </w:p>
    <w:p w14:paraId="7C54BAD5">
      <w:pPr>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邮箱：</w:t>
      </w:r>
      <w:r>
        <w:rPr>
          <w:rFonts w:hint="eastAsia" w:ascii="宋体" w:hAnsi="宋体"/>
          <w:sz w:val="28"/>
          <w:szCs w:val="28"/>
        </w:rPr>
        <w:t>zzlyjw02@126.com</w:t>
      </w:r>
    </w:p>
    <w:p w14:paraId="5D073AFF">
      <w:pPr>
        <w:spacing w:line="360" w:lineRule="auto"/>
        <w:ind w:firstLine="560" w:firstLineChars="200"/>
        <w:rPr>
          <w:rFonts w:ascii="宋体" w:hAnsi="宋体" w:cs="宋体"/>
          <w:color w:val="000000"/>
          <w:kern w:val="0"/>
          <w:sz w:val="28"/>
          <w:szCs w:val="28"/>
        </w:rPr>
      </w:pPr>
      <w:r>
        <w:rPr>
          <w:rFonts w:hint="eastAsia"/>
          <w:sz w:val="28"/>
          <w:szCs w:val="28"/>
        </w:rPr>
        <w:t>中铝股份：0</w:t>
      </w:r>
      <w:r>
        <w:rPr>
          <w:sz w:val="28"/>
          <w:szCs w:val="28"/>
        </w:rPr>
        <w:t>10-82298446</w:t>
      </w:r>
      <w:r>
        <w:rPr>
          <w:rFonts w:hint="eastAsia"/>
          <w:sz w:val="28"/>
          <w:szCs w:val="28"/>
        </w:rPr>
        <w:t>；中铝集团：0</w:t>
      </w:r>
      <w:r>
        <w:rPr>
          <w:sz w:val="28"/>
          <w:szCs w:val="28"/>
        </w:rPr>
        <w:t>10-82298683</w:t>
      </w:r>
      <w:r>
        <w:rPr>
          <w:rFonts w:hint="eastAsia" w:ascii="宋体" w:hAnsi="宋体" w:cs="宋体"/>
          <w:color w:val="000000"/>
          <w:kern w:val="0"/>
          <w:sz w:val="28"/>
          <w:szCs w:val="28"/>
        </w:rPr>
        <w:t xml:space="preserve"> </w:t>
      </w:r>
    </w:p>
    <w:p w14:paraId="0BD3F0DB">
      <w:pPr>
        <w:tabs>
          <w:tab w:val="left" w:pos="720"/>
        </w:tabs>
        <w:spacing w:line="360" w:lineRule="auto"/>
        <w:rPr>
          <w:rFonts w:hint="eastAsia" w:ascii="宋体" w:hAnsi="宋体"/>
          <w:b/>
          <w:bCs/>
          <w:sz w:val="28"/>
          <w:szCs w:val="28"/>
          <w:lang w:val="en-US" w:eastAsia="zh-CN"/>
        </w:rPr>
      </w:pPr>
      <w:r>
        <w:rPr>
          <w:rFonts w:hint="eastAsia" w:ascii="宋体" w:hAnsi="宋体"/>
          <w:b/>
          <w:bCs/>
          <w:sz w:val="28"/>
          <w:szCs w:val="28"/>
          <w:lang w:val="en-US" w:eastAsia="zh-CN"/>
        </w:rPr>
        <w:t>12、主要内容及技术要求：</w:t>
      </w:r>
    </w:p>
    <w:p w14:paraId="2542A65F">
      <w:pPr>
        <w:spacing w:line="360" w:lineRule="auto"/>
        <w:ind w:firstLine="560" w:firstLineChars="200"/>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1.对尾矿库堆存赤泥由专业检测单位进行压实度检测。</w:t>
      </w:r>
    </w:p>
    <w:p w14:paraId="47B0C29C">
      <w:pPr>
        <w:spacing w:line="360" w:lineRule="auto"/>
        <w:ind w:firstLine="560" w:firstLineChars="200"/>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2.依据国标JTG3450-2019标准，坝体压实度取样标准为每1000m</w:t>
      </w:r>
      <w:r>
        <w:rPr>
          <w:rFonts w:hint="eastAsia" w:ascii="宋体" w:hAnsi="宋体" w:cs="宋体"/>
          <w:color w:val="000000"/>
          <w:kern w:val="0"/>
          <w:sz w:val="28"/>
          <w:szCs w:val="28"/>
          <w:vertAlign w:val="superscript"/>
          <w:lang w:val="en-US" w:eastAsia="zh-CN"/>
        </w:rPr>
        <w:t>2</w:t>
      </w:r>
      <w:r>
        <w:rPr>
          <w:rFonts w:hint="eastAsia" w:ascii="宋体" w:hAnsi="宋体" w:cs="宋体"/>
          <w:color w:val="000000"/>
          <w:kern w:val="0"/>
          <w:sz w:val="28"/>
          <w:szCs w:val="28"/>
          <w:lang w:val="en-US" w:eastAsia="zh-CN"/>
        </w:rPr>
        <w:t>取9个环刀压实度检测样，按照现生产模式测算大南爻赤泥库堆积坝筑坝区域2026年共需堆筑20m高，平均堆积坝坝长320m，取样范围宽度50m，年共需取样320×50÷1000×20×9＝2880个；大南爻赤泥库堆存区域面积约18万m</w:t>
      </w:r>
      <w:r>
        <w:rPr>
          <w:rFonts w:hint="eastAsia" w:ascii="宋体" w:hAnsi="宋体" w:cs="宋体"/>
          <w:color w:val="000000"/>
          <w:kern w:val="0"/>
          <w:sz w:val="28"/>
          <w:szCs w:val="28"/>
          <w:vertAlign w:val="superscript"/>
          <w:lang w:val="en-US" w:eastAsia="zh-CN"/>
        </w:rPr>
        <w:t>2</w:t>
      </w:r>
      <w:r>
        <w:rPr>
          <w:rFonts w:hint="eastAsia" w:ascii="宋体" w:hAnsi="宋体" w:cs="宋体"/>
          <w:color w:val="000000"/>
          <w:kern w:val="0"/>
          <w:sz w:val="28"/>
          <w:szCs w:val="28"/>
          <w:lang w:val="en-US" w:eastAsia="zh-CN"/>
        </w:rPr>
        <w:t>，新庄沟赤泥库堆存区域面积约3万m</w:t>
      </w:r>
      <w:r>
        <w:rPr>
          <w:rFonts w:hint="eastAsia" w:ascii="宋体" w:hAnsi="宋体" w:cs="宋体"/>
          <w:color w:val="000000"/>
          <w:kern w:val="0"/>
          <w:sz w:val="28"/>
          <w:szCs w:val="28"/>
          <w:vertAlign w:val="superscript"/>
          <w:lang w:val="en-US" w:eastAsia="zh-CN"/>
        </w:rPr>
        <w:t>2</w:t>
      </w:r>
      <w:r>
        <w:rPr>
          <w:rFonts w:hint="eastAsia" w:ascii="宋体" w:hAnsi="宋体" w:cs="宋体"/>
          <w:color w:val="000000"/>
          <w:kern w:val="0"/>
          <w:sz w:val="28"/>
          <w:szCs w:val="28"/>
          <w:lang w:val="en-US" w:eastAsia="zh-CN"/>
        </w:rPr>
        <w:t>，按照每堆存5m高，5000m2取9个环刀压实度检测样，年共需取样（18+3）÷0.5×4×9＝1512个；压实度数值达到尾矿库设计要求，并出具加盖CMA许可使用标志章的检测报告。</w:t>
      </w:r>
    </w:p>
    <w:p w14:paraId="0609B732">
      <w:pPr>
        <w:spacing w:line="360" w:lineRule="auto"/>
        <w:ind w:firstLine="560" w:firstLineChars="200"/>
        <w:rPr>
          <w:rFonts w:hint="eastAsia" w:asciiTheme="minorEastAsia" w:hAnsiTheme="minorEastAsia" w:eastAsiaTheme="minorEastAsia"/>
          <w:bCs w:val="0"/>
          <w:color w:val="000000"/>
          <w:kern w:val="2"/>
          <w:sz w:val="28"/>
          <w:szCs w:val="28"/>
        </w:rPr>
      </w:pPr>
      <w:r>
        <w:rPr>
          <w:rFonts w:hint="eastAsia" w:asciiTheme="minorEastAsia" w:hAnsiTheme="minorEastAsia" w:eastAsiaTheme="minorEastAsia"/>
          <w:bCs w:val="0"/>
          <w:color w:val="000000"/>
          <w:kern w:val="2"/>
          <w:sz w:val="28"/>
          <w:szCs w:val="28"/>
          <w:lang w:val="en-US" w:eastAsia="zh-CN"/>
        </w:rPr>
        <w:t>技术要求：</w:t>
      </w:r>
      <w:r>
        <w:rPr>
          <w:rFonts w:hint="eastAsia" w:ascii="宋体" w:hAnsi="宋体" w:cs="宋体"/>
          <w:color w:val="000000"/>
          <w:kern w:val="0"/>
          <w:sz w:val="28"/>
          <w:szCs w:val="28"/>
        </w:rPr>
        <w:t>符合《中华人民共和国安全生产法》和《尾矿库安全监督管理规定》等法律法规，公司具有符合项目要求的检测资质，从业人员必须具备符合国家要求的相关从业资格。</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1786E"/>
    <w:rsid w:val="05D610DF"/>
    <w:rsid w:val="077324D1"/>
    <w:rsid w:val="0B543D60"/>
    <w:rsid w:val="0B832B11"/>
    <w:rsid w:val="11920504"/>
    <w:rsid w:val="13622204"/>
    <w:rsid w:val="1E091104"/>
    <w:rsid w:val="29406B97"/>
    <w:rsid w:val="29991542"/>
    <w:rsid w:val="2AF71D6F"/>
    <w:rsid w:val="2FFC1348"/>
    <w:rsid w:val="302B3513"/>
    <w:rsid w:val="375B4ED1"/>
    <w:rsid w:val="4EE81334"/>
    <w:rsid w:val="4F0911AA"/>
    <w:rsid w:val="74714F78"/>
    <w:rsid w:val="75EB2836"/>
    <w:rsid w:val="7D232A74"/>
    <w:rsid w:val="7E123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spacing w:beforeLines="100" w:afterLines="80" w:line="360" w:lineRule="auto"/>
      <w:jc w:val="center"/>
      <w:outlineLvl w:val="0"/>
    </w:pPr>
    <w:rPr>
      <w:b/>
      <w:bCs/>
      <w:kern w:val="44"/>
      <w:sz w:val="44"/>
      <w:szCs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Body Text 2"/>
    <w:basedOn w:val="1"/>
    <w:next w:val="3"/>
    <w:qFormat/>
    <w:uiPriority w:val="0"/>
    <w:pPr>
      <w:widowControl/>
      <w:spacing w:line="360" w:lineRule="exact"/>
      <w:jc w:val="center"/>
    </w:pPr>
    <w:rPr>
      <w:rFonts w:ascii="仿宋_GB2312" w:hAnsi="宋体" w:eastAsia="仿宋_GB2312"/>
      <w:kern w:val="0"/>
      <w:sz w:val="24"/>
    </w:rPr>
  </w:style>
  <w:style w:type="table" w:styleId="6">
    <w:name w:val="Table Grid"/>
    <w:basedOn w:val="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正文首行缩进1"/>
    <w:basedOn w:val="3"/>
    <w:next w:val="9"/>
    <w:autoRedefine/>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paragraph" w:customStyle="1" w:styleId="9">
    <w:name w:val="正文首行缩进 21"/>
    <w:basedOn w:val="10"/>
    <w:qFormat/>
    <w:uiPriority w:val="0"/>
    <w:pPr>
      <w:widowControl w:val="0"/>
      <w:spacing w:line="360" w:lineRule="auto"/>
      <w:ind w:firstLine="420" w:firstLineChars="200"/>
      <w:jc w:val="center"/>
    </w:pPr>
    <w:rPr>
      <w:rFonts w:ascii="黑体" w:hAnsi="Times New Roman" w:eastAsia="黑体" w:cs="Times New Roman"/>
      <w:kern w:val="2"/>
      <w:sz w:val="48"/>
      <w:szCs w:val="28"/>
      <w:lang w:val="en-US" w:eastAsia="zh-CN" w:bidi="ar-SA"/>
    </w:rPr>
  </w:style>
  <w:style w:type="paragraph" w:customStyle="1" w:styleId="10">
    <w:name w:val="Body Text Indent1"/>
    <w:qFormat/>
    <w:uiPriority w:val="0"/>
    <w:pPr>
      <w:widowControl w:val="0"/>
      <w:spacing w:line="360" w:lineRule="auto"/>
      <w:ind w:firstLine="482" w:firstLineChars="100"/>
      <w:jc w:val="center"/>
    </w:pPr>
    <w:rPr>
      <w:rFonts w:ascii="黑体" w:hAnsi="Times New Roman" w:eastAsia="黑体" w:cs="Times New Roman"/>
      <w:b/>
      <w:kern w:val="2"/>
      <w:sz w:val="48"/>
      <w:szCs w:val="28"/>
      <w:lang w:val="en-US" w:eastAsia="zh-CN" w:bidi="ar-SA"/>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1469</Words>
  <Characters>1629</Characters>
  <Lines>0</Lines>
  <Paragraphs>0</Paragraphs>
  <TotalTime>0</TotalTime>
  <ScaleCrop>false</ScaleCrop>
  <LinksUpToDate>false</LinksUpToDate>
  <CharactersWithSpaces>1638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2025-10-13T06:38:00Z</dcterms:created>
  <dc:creator>Administrator</dc:creator>
  <cp:lastModifiedBy>ZH</cp:lastModifiedBy>
  <dcterms:modified xsi:type="dcterms:W3CDTF">2025-12-12T02:39:20Z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eyJoZGlkIjoiNWM0NjhkMDc4MjVlZjkxMGM1Nzc5NzIyMDM5NzI3MjEiLCJ1c2VySWQiOiIxMTQxOTU4ODg0In0=</vt:lpwstr>
  </property>
  <property fmtid="{D5CDD505-2E9C-101B-9397-08002B2CF9AE}" pid="4" name="ICV">
    <vt:lpwstr>556ADA4F81284CD78E123C1D5842ED68_12</vt:lpwstr>
  </property>
</Properties>
</file>