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0DCE4">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中铝中州铝业有限公司禹州市银洞山铝土矿初步设计和安全设施设计报告编制项目采购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CG-ZZ-202510-SCGK-KSK-004</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禹州市银洞山铝土矿初步设计和安全设施设计报告编制项目已具备采购条件，资金自筹且已落实。采购人为：中铝中州铝业有限公司生产管控中心。采购人对该项目进行公开询比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3E93F7F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2.1项目名称：中铝中州铝业有限公司禹州市银洞山铝土矿初步设计和安全设施设计报告编制项目</w:t>
      </w:r>
    </w:p>
    <w:p w14:paraId="13E3B4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14:paraId="7E8142AC">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2.3项目概况：为保证禹州市银洞山铝土矿下步矿体开发的合法合规，需要编制初步设计和安全设施设计。</w:t>
      </w:r>
    </w:p>
    <w:p w14:paraId="48625FA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2.4项目地点：禹州市磨街乡</w:t>
      </w:r>
    </w:p>
    <w:p w14:paraId="38AC342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1D58E81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636DF140">
      <w:pPr>
        <w:spacing w:line="440" w:lineRule="exact"/>
        <w:ind w:firstLine="480" w:firstLineChars="200"/>
        <w:rPr>
          <w:rFonts w:hint="eastAsia" w:ascii="仿宋" w:hAnsi="仿宋" w:eastAsia="仿宋" w:cs="仿宋"/>
          <w:bCs/>
          <w:sz w:val="24"/>
          <w:lang w:val="en-US" w:eastAsia="zh-CN"/>
        </w:rPr>
      </w:pPr>
      <w:r>
        <w:rPr>
          <w:rFonts w:hint="default" w:ascii="仿宋" w:hAnsi="仿宋" w:eastAsia="仿宋" w:cs="仿宋"/>
          <w:bCs/>
          <w:sz w:val="24"/>
          <w:lang w:val="en-US" w:eastAsia="zh-CN"/>
        </w:rPr>
        <w:t>收集矿山以往</w:t>
      </w:r>
      <w:r>
        <w:rPr>
          <w:rFonts w:hint="eastAsia" w:ascii="仿宋" w:hAnsi="仿宋" w:eastAsia="仿宋" w:cs="仿宋"/>
          <w:bCs/>
          <w:sz w:val="24"/>
          <w:lang w:val="en-US" w:eastAsia="zh-CN"/>
        </w:rPr>
        <w:t>技术</w:t>
      </w:r>
      <w:r>
        <w:rPr>
          <w:rFonts w:hint="default" w:ascii="仿宋" w:hAnsi="仿宋" w:eastAsia="仿宋" w:cs="仿宋"/>
          <w:bCs/>
          <w:sz w:val="24"/>
          <w:lang w:val="en-US" w:eastAsia="zh-CN"/>
        </w:rPr>
        <w:t>资料，对</w:t>
      </w:r>
      <w:r>
        <w:rPr>
          <w:rFonts w:hint="eastAsia" w:ascii="仿宋" w:hAnsi="仿宋" w:eastAsia="仿宋" w:cs="仿宋"/>
          <w:bCs/>
          <w:sz w:val="24"/>
          <w:lang w:val="en-US" w:eastAsia="zh-CN"/>
        </w:rPr>
        <w:t>银洞山铝土矿矿权范围内</w:t>
      </w:r>
      <w:r>
        <w:rPr>
          <w:rFonts w:hint="default" w:ascii="仿宋" w:hAnsi="仿宋" w:eastAsia="仿宋" w:cs="仿宋"/>
          <w:bCs/>
          <w:sz w:val="24"/>
          <w:lang w:val="en-US" w:eastAsia="zh-CN"/>
        </w:rPr>
        <w:t>矿产资源</w:t>
      </w:r>
      <w:r>
        <w:rPr>
          <w:rFonts w:hint="eastAsia" w:ascii="仿宋" w:hAnsi="仿宋" w:eastAsia="仿宋" w:cs="仿宋"/>
          <w:bCs/>
          <w:sz w:val="24"/>
          <w:lang w:val="en-US" w:eastAsia="zh-CN"/>
        </w:rPr>
        <w:t>露天部分</w:t>
      </w:r>
      <w:r>
        <w:rPr>
          <w:rFonts w:hint="default" w:ascii="仿宋" w:hAnsi="仿宋" w:eastAsia="仿宋" w:cs="仿宋"/>
          <w:bCs/>
          <w:sz w:val="24"/>
          <w:lang w:val="en-US" w:eastAsia="zh-CN"/>
        </w:rPr>
        <w:t>进行分析</w:t>
      </w:r>
      <w:r>
        <w:rPr>
          <w:rFonts w:hint="eastAsia" w:ascii="仿宋" w:hAnsi="仿宋" w:eastAsia="仿宋" w:cs="仿宋"/>
          <w:bCs/>
          <w:sz w:val="24"/>
          <w:lang w:val="en-US" w:eastAsia="zh-CN"/>
        </w:rPr>
        <w:t>、整理、设计</w:t>
      </w:r>
      <w:r>
        <w:rPr>
          <w:rFonts w:hint="default" w:ascii="仿宋" w:hAnsi="仿宋" w:eastAsia="仿宋" w:cs="仿宋"/>
          <w:bCs/>
          <w:sz w:val="24"/>
          <w:lang w:val="en-US" w:eastAsia="zh-CN"/>
        </w:rPr>
        <w:t>，编制</w:t>
      </w:r>
      <w:r>
        <w:rPr>
          <w:rFonts w:hint="eastAsia" w:ascii="仿宋" w:hAnsi="仿宋" w:eastAsia="仿宋" w:cs="仿宋"/>
          <w:bCs/>
          <w:sz w:val="24"/>
          <w:lang w:val="en-US" w:eastAsia="zh-CN"/>
        </w:rPr>
        <w:t>初步设计和安全设施设计并通过评审，取得安全设施设计批复。</w:t>
      </w:r>
    </w:p>
    <w:p w14:paraId="20BA6A9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4A58EC1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2.5.2.1符合初步设计和安全设施设计报告编制的相关要求；</w:t>
      </w:r>
    </w:p>
    <w:p w14:paraId="5B250C5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2.5.2.2报告通过专家评审并备案。</w:t>
      </w:r>
    </w:p>
    <w:p w14:paraId="29948B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34C913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2.8工期：自合同签订之日起至2026年3月31日。</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000041FC">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1</w:t>
      </w:r>
      <w:r>
        <w:rPr>
          <w:rFonts w:hint="eastAsia" w:ascii="仿宋" w:hAnsi="仿宋" w:eastAsia="仿宋" w:cs="仿宋"/>
          <w:bCs/>
          <w:sz w:val="24"/>
          <w:lang w:val="en-US" w:eastAsia="zh-CN"/>
        </w:rPr>
        <w:t>、</w:t>
      </w:r>
      <w:r>
        <w:rPr>
          <w:rFonts w:hint="default" w:ascii="仿宋" w:hAnsi="仿宋" w:eastAsia="仿宋" w:cs="仿宋"/>
          <w:bCs/>
          <w:sz w:val="24"/>
          <w:lang w:val="en-US" w:eastAsia="zh-CN"/>
        </w:rPr>
        <w:t>中华人民共和国注册登记的</w:t>
      </w:r>
      <w:r>
        <w:rPr>
          <w:rFonts w:hint="eastAsia" w:ascii="仿宋" w:hAnsi="仿宋" w:eastAsia="仿宋" w:cs="仿宋"/>
          <w:bCs/>
          <w:sz w:val="24"/>
          <w:lang w:val="en-US" w:eastAsia="zh-CN"/>
        </w:rPr>
        <w:t>，持有合法有效的营业执照或事业单位法人证书；</w:t>
      </w:r>
    </w:p>
    <w:p w14:paraId="4C812EE1">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2</w:t>
      </w:r>
      <w:r>
        <w:rPr>
          <w:rFonts w:hint="eastAsia" w:ascii="仿宋" w:hAnsi="仿宋" w:eastAsia="仿宋" w:cs="仿宋"/>
          <w:bCs/>
          <w:sz w:val="24"/>
          <w:lang w:val="en-US" w:eastAsia="zh-CN"/>
        </w:rPr>
        <w:t>、</w:t>
      </w:r>
      <w:r>
        <w:rPr>
          <w:rFonts w:hint="default" w:ascii="仿宋" w:hAnsi="仿宋" w:eastAsia="仿宋" w:cs="仿宋"/>
          <w:bCs/>
          <w:sz w:val="24"/>
          <w:lang w:val="en-US" w:eastAsia="zh-CN"/>
        </w:rPr>
        <w:t>具备履行合同的能力，包括资质状况，专业、技术资格和能力，资金、设备和其他设施状况，管理能力，经验、信誉和相应的从业人员；</w:t>
      </w:r>
    </w:p>
    <w:p w14:paraId="34C74513">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3</w:t>
      </w:r>
      <w:r>
        <w:rPr>
          <w:rFonts w:hint="eastAsia" w:ascii="仿宋" w:hAnsi="仿宋" w:eastAsia="仿宋" w:cs="仿宋"/>
          <w:bCs/>
          <w:sz w:val="24"/>
          <w:lang w:val="en-US" w:eastAsia="zh-CN"/>
        </w:rPr>
        <w:t>、</w:t>
      </w:r>
      <w:r>
        <w:rPr>
          <w:rFonts w:hint="default" w:ascii="仿宋" w:hAnsi="仿宋" w:eastAsia="仿宋" w:cs="仿宋"/>
          <w:bCs/>
          <w:sz w:val="24"/>
          <w:lang w:val="en-US" w:eastAsia="zh-CN"/>
        </w:rPr>
        <w:t>报价人没有处于被责令停业，报价资格没有被取消，财产没有被接管、冻结、破产状态；在最近三年内没有骗取中选和严重违约及重大质量问题；</w:t>
      </w:r>
    </w:p>
    <w:p w14:paraId="0CC8A335">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w:t>
      </w:r>
      <w:r>
        <w:rPr>
          <w:rFonts w:hint="eastAsia" w:ascii="仿宋" w:hAnsi="仿宋" w:eastAsia="仿宋" w:cs="仿宋"/>
          <w:bCs/>
          <w:sz w:val="24"/>
          <w:lang w:val="en-US" w:eastAsia="zh-CN"/>
        </w:rPr>
        <w:t>、</w:t>
      </w:r>
      <w:r>
        <w:rPr>
          <w:rFonts w:hint="default" w:ascii="仿宋" w:hAnsi="仿宋" w:eastAsia="仿宋" w:cs="仿宋"/>
          <w:bCs/>
          <w:sz w:val="24"/>
          <w:lang w:val="en-US" w:eastAsia="zh-CN"/>
        </w:rPr>
        <w:t>在承接类似于本项目的相关业务中，没有出现报价人负主要责任的安全、技术、质量、商务等纠纷，没有产生严重后果，造成重大经济损失，不得在招报价数据库中存在不良记录；</w:t>
      </w:r>
    </w:p>
    <w:p w14:paraId="5BCFD622">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5</w:t>
      </w:r>
      <w:r>
        <w:rPr>
          <w:rFonts w:hint="eastAsia" w:ascii="仿宋" w:hAnsi="仿宋" w:eastAsia="仿宋" w:cs="仿宋"/>
          <w:bCs/>
          <w:sz w:val="24"/>
          <w:lang w:val="en-US" w:eastAsia="zh-CN"/>
        </w:rPr>
        <w:t>、至少具备工程设计煤炭行业专业乙级及以上资质</w:t>
      </w:r>
      <w:r>
        <w:rPr>
          <w:rFonts w:hint="default" w:ascii="仿宋" w:hAnsi="仿宋" w:eastAsia="仿宋" w:cs="仿宋"/>
          <w:bCs/>
          <w:sz w:val="24"/>
          <w:lang w:val="en-US" w:eastAsia="zh-CN"/>
        </w:rPr>
        <w:t>；</w:t>
      </w:r>
    </w:p>
    <w:p w14:paraId="436F35B3">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6、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14:paraId="350675DF">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7、</w:t>
      </w:r>
      <w:r>
        <w:rPr>
          <w:rFonts w:hint="default" w:ascii="仿宋" w:hAnsi="仿宋" w:eastAsia="仿宋" w:cs="仿宋"/>
          <w:bCs/>
          <w:sz w:val="24"/>
          <w:lang w:val="en-US" w:eastAsia="zh-CN"/>
        </w:rPr>
        <w:t>具备法律、行政法规规定的其他资格条件。</w:t>
      </w:r>
    </w:p>
    <w:p w14:paraId="5FDFC08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8、本项目不允许联合体报价。</w:t>
      </w:r>
    </w:p>
    <w:p w14:paraId="5F39EB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9、报价人的安全能力能满足采购文件的要求，包括资质能力、管理能力、人员能力、绩效能力等。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3500F5CE">
      <w:pPr>
        <w:spacing w:line="440" w:lineRule="exact"/>
        <w:ind w:firstLine="480" w:firstLineChars="200"/>
        <w:rPr>
          <w:rFonts w:hint="eastAsia" w:ascii="仿宋" w:hAnsi="仿宋" w:eastAsia="仿宋" w:cs="仿宋"/>
          <w:bCs/>
          <w:sz w:val="24"/>
          <w:lang w:val="en-US" w:eastAsia="zh-CN"/>
        </w:rPr>
      </w:pPr>
      <w:bookmarkStart w:id="0" w:name="_Toc517804008"/>
      <w:bookmarkStart w:id="1" w:name="_Toc3201944"/>
      <w:bookmarkStart w:id="2" w:name="_Toc518044994"/>
      <w:bookmarkStart w:id="3" w:name="_Toc27489"/>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原件、传真（或扫描后电子邮件）传送至联系人后方可取得采购文件（纸质版或电子版）。纸质版可到采购人处领取，电子版通过微信方式发至报价联系人。</w:t>
      </w:r>
      <w:r>
        <w:rPr>
          <w:rFonts w:hint="eastAsia" w:ascii="仿宋" w:hAnsi="仿宋" w:eastAsia="仿宋" w:cs="仿宋"/>
          <w:bCs/>
          <w:sz w:val="24"/>
          <w:lang w:val="en-US" w:eastAsia="zh-CN"/>
        </w:rPr>
        <w:tab/>
      </w:r>
    </w:p>
    <w:p w14:paraId="67F67A1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430D2DB2">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4142BCE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878065A">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59D6DDDB">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汇款备注中，“银洞山铝土矿初步设计和安全设施设计报告编制项目采购文件费”。</w:t>
      </w:r>
    </w:p>
    <w:p w14:paraId="45BBD35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购买采购文件时间：自公告之日起至2025年11月2日16:30（北京时间）</w:t>
      </w:r>
    </w:p>
    <w:p w14:paraId="15535C43">
      <w:pPr>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w:t>
      </w:r>
      <w:r>
        <w:rPr>
          <w:rFonts w:hint="eastAsia" w:ascii="仿宋" w:hAnsi="仿宋" w:eastAsia="仿宋" w:cs="仿宋"/>
          <w:bCs/>
          <w:sz w:val="24"/>
          <w:lang w:eastAsia="zh-CN"/>
        </w:rPr>
        <w:t>必须将</w:t>
      </w:r>
      <w:r>
        <w:rPr>
          <w:rFonts w:hint="eastAsia" w:ascii="仿宋_GB2312" w:hAnsi="Times New Roman" w:eastAsia="仿宋_GB2312" w:cs="Times New Roman"/>
          <w:bCs/>
          <w:color w:val="FF0000"/>
          <w:sz w:val="24"/>
          <w:highlight w:val="none"/>
        </w:rPr>
        <w:t>企业营业执照（三证合一）、开户许可证</w:t>
      </w:r>
      <w:r>
        <w:rPr>
          <w:rFonts w:hint="eastAsia" w:ascii="仿宋_GB2312" w:eastAsia="仿宋_GB2312" w:cs="Times New Roman"/>
          <w:bCs/>
          <w:color w:val="FF0000"/>
          <w:sz w:val="24"/>
          <w:highlight w:val="none"/>
          <w:lang w:eastAsia="zh-CN"/>
        </w:rPr>
        <w:t>、法人身份证（正反面）、文件费回执</w:t>
      </w:r>
      <w:r>
        <w:rPr>
          <w:rFonts w:hint="eastAsia" w:ascii="仿宋" w:hAnsi="仿宋" w:eastAsia="仿宋" w:cs="仿宋"/>
          <w:bCs/>
          <w:sz w:val="24"/>
          <w:lang w:eastAsia="zh-CN"/>
        </w:rPr>
        <w:t>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14:paraId="4A09C25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4" w:name="_Toc517804009"/>
      <w:bookmarkStart w:id="5" w:name="_Toc518044995"/>
      <w:bookmarkStart w:id="6" w:name="_Toc9267"/>
      <w:bookmarkStart w:id="7" w:name="_Toc3201945"/>
      <w:r>
        <w:rPr>
          <w:rFonts w:hint="eastAsia" w:ascii="仿宋" w:hAnsi="仿宋" w:eastAsia="仿宋" w:cs="仿宋"/>
          <w:b/>
          <w:bCs w:val="0"/>
          <w:sz w:val="28"/>
          <w:szCs w:val="28"/>
          <w:lang w:val="en-US" w:eastAsia="zh-CN"/>
        </w:rPr>
        <w:t>6报价文件的递交</w:t>
      </w:r>
      <w:bookmarkEnd w:id="4"/>
      <w:bookmarkEnd w:id="5"/>
      <w:bookmarkEnd w:id="6"/>
      <w:bookmarkEnd w:id="7"/>
    </w:p>
    <w:p w14:paraId="5B7EFE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w:t>
      </w:r>
      <w:bookmarkStart w:id="14" w:name="_GoBack"/>
      <w:bookmarkEnd w:id="14"/>
      <w:r>
        <w:rPr>
          <w:rFonts w:hint="eastAsia" w:ascii="仿宋" w:hAnsi="仿宋" w:eastAsia="仿宋" w:cs="仿宋"/>
          <w:bCs/>
          <w:sz w:val="24"/>
          <w:lang w:val="en-US" w:eastAsia="zh-CN"/>
        </w:rPr>
        <w:t>：2025年11月3日11:00（北京时间）。</w:t>
      </w:r>
    </w:p>
    <w:p w14:paraId="5481F60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14:paraId="4871A3C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9" w:name="_Toc22632"/>
      <w:bookmarkStart w:id="10" w:name="_Toc517804011"/>
      <w:bookmarkStart w:id="11" w:name="_Toc518044997"/>
      <w:bookmarkStart w:id="12" w:name="_Toc3201947"/>
      <w:r>
        <w:rPr>
          <w:rFonts w:hint="eastAsia" w:ascii="仿宋" w:hAnsi="仿宋" w:eastAsia="仿宋" w:cs="仿宋"/>
          <w:b/>
          <w:bCs w:val="0"/>
          <w:sz w:val="28"/>
          <w:szCs w:val="28"/>
          <w:lang w:val="en-US" w:eastAsia="zh-CN"/>
        </w:rPr>
        <w:t>8联系方式</w:t>
      </w:r>
      <w:bookmarkEnd w:id="9"/>
      <w:bookmarkEnd w:id="10"/>
      <w:bookmarkEnd w:id="11"/>
      <w:bookmarkEnd w:id="12"/>
    </w:p>
    <w:p w14:paraId="7ED80B3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14:paraId="4DD6F981">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14:paraId="2CAC488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13F588A"/>
    <w:rsid w:val="037B371D"/>
    <w:rsid w:val="037D6B45"/>
    <w:rsid w:val="0393643C"/>
    <w:rsid w:val="03AA4003"/>
    <w:rsid w:val="044E0E32"/>
    <w:rsid w:val="05880374"/>
    <w:rsid w:val="05C532C6"/>
    <w:rsid w:val="08164F8D"/>
    <w:rsid w:val="0AA27488"/>
    <w:rsid w:val="0B094A63"/>
    <w:rsid w:val="0B2F3A13"/>
    <w:rsid w:val="0C9475FE"/>
    <w:rsid w:val="0E1F739B"/>
    <w:rsid w:val="10D73F5D"/>
    <w:rsid w:val="11C10E95"/>
    <w:rsid w:val="12451511"/>
    <w:rsid w:val="12FB03D7"/>
    <w:rsid w:val="13F63820"/>
    <w:rsid w:val="142859FB"/>
    <w:rsid w:val="1464310E"/>
    <w:rsid w:val="14C667C2"/>
    <w:rsid w:val="163065E9"/>
    <w:rsid w:val="165B2217"/>
    <w:rsid w:val="16D43419"/>
    <w:rsid w:val="171B1048"/>
    <w:rsid w:val="17EC6540"/>
    <w:rsid w:val="190C7CE1"/>
    <w:rsid w:val="19D11E91"/>
    <w:rsid w:val="1B2D3AE4"/>
    <w:rsid w:val="1CCC4B92"/>
    <w:rsid w:val="1DF01F12"/>
    <w:rsid w:val="20B53F66"/>
    <w:rsid w:val="20D0142F"/>
    <w:rsid w:val="21AF0D0A"/>
    <w:rsid w:val="23720241"/>
    <w:rsid w:val="24A563F4"/>
    <w:rsid w:val="24B13AD7"/>
    <w:rsid w:val="28A714A1"/>
    <w:rsid w:val="297840D8"/>
    <w:rsid w:val="2A3C3357"/>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73281"/>
    <w:rsid w:val="3AE96BE3"/>
    <w:rsid w:val="3C3E6CFB"/>
    <w:rsid w:val="3C6A5B02"/>
    <w:rsid w:val="3E0E49C6"/>
    <w:rsid w:val="3FC30CA2"/>
    <w:rsid w:val="3FE43E1D"/>
    <w:rsid w:val="401A783F"/>
    <w:rsid w:val="406805AA"/>
    <w:rsid w:val="411C2913"/>
    <w:rsid w:val="43E02B4D"/>
    <w:rsid w:val="44590819"/>
    <w:rsid w:val="446724B7"/>
    <w:rsid w:val="45C368D4"/>
    <w:rsid w:val="464E0242"/>
    <w:rsid w:val="46CE4098"/>
    <w:rsid w:val="46D259A4"/>
    <w:rsid w:val="490F1FF3"/>
    <w:rsid w:val="49695393"/>
    <w:rsid w:val="497955D6"/>
    <w:rsid w:val="4B4843E2"/>
    <w:rsid w:val="4C27758A"/>
    <w:rsid w:val="4CFD651E"/>
    <w:rsid w:val="4EDB288F"/>
    <w:rsid w:val="51735001"/>
    <w:rsid w:val="523C1897"/>
    <w:rsid w:val="52F83A10"/>
    <w:rsid w:val="550A42E0"/>
    <w:rsid w:val="56140091"/>
    <w:rsid w:val="571748E3"/>
    <w:rsid w:val="581D594B"/>
    <w:rsid w:val="59395101"/>
    <w:rsid w:val="5AFD146D"/>
    <w:rsid w:val="5B5434A8"/>
    <w:rsid w:val="5BF154A0"/>
    <w:rsid w:val="5C0F4FE4"/>
    <w:rsid w:val="5E863CA9"/>
    <w:rsid w:val="5EC155FD"/>
    <w:rsid w:val="5F7F56ED"/>
    <w:rsid w:val="603248F4"/>
    <w:rsid w:val="62272952"/>
    <w:rsid w:val="64D50E4D"/>
    <w:rsid w:val="652D5C58"/>
    <w:rsid w:val="65D0673C"/>
    <w:rsid w:val="662D3262"/>
    <w:rsid w:val="66CD3A0C"/>
    <w:rsid w:val="68103152"/>
    <w:rsid w:val="68554ED4"/>
    <w:rsid w:val="69856C60"/>
    <w:rsid w:val="6A627023"/>
    <w:rsid w:val="6B3E73F7"/>
    <w:rsid w:val="6BAD0EBB"/>
    <w:rsid w:val="6C092392"/>
    <w:rsid w:val="6C4D6722"/>
    <w:rsid w:val="6D8242FF"/>
    <w:rsid w:val="6E9F6FDD"/>
    <w:rsid w:val="6EA07640"/>
    <w:rsid w:val="6EC711C7"/>
    <w:rsid w:val="6EFB29F9"/>
    <w:rsid w:val="6F060E0B"/>
    <w:rsid w:val="6F273B31"/>
    <w:rsid w:val="707814EF"/>
    <w:rsid w:val="70AD26B9"/>
    <w:rsid w:val="71ED7056"/>
    <w:rsid w:val="732C01D1"/>
    <w:rsid w:val="73DD17AE"/>
    <w:rsid w:val="742340B3"/>
    <w:rsid w:val="74624D35"/>
    <w:rsid w:val="75181898"/>
    <w:rsid w:val="77720653"/>
    <w:rsid w:val="77E572A5"/>
    <w:rsid w:val="77F55EC0"/>
    <w:rsid w:val="780D4FB8"/>
    <w:rsid w:val="78355FAD"/>
    <w:rsid w:val="79246A5D"/>
    <w:rsid w:val="7A22256E"/>
    <w:rsid w:val="7A2A7DCB"/>
    <w:rsid w:val="7B564EC8"/>
    <w:rsid w:val="7B747B10"/>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3">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line="360" w:lineRule="auto"/>
      <w:ind w:firstLine="200" w:firstLineChars="200"/>
    </w:pPr>
    <w:rPr>
      <w:rFonts w:ascii="宋体" w:hAnsi="宋体"/>
      <w:sz w:val="24"/>
      <w:szCs w:val="20"/>
    </w:rPr>
  </w:style>
  <w:style w:type="paragraph" w:styleId="5">
    <w:name w:val="annotation text"/>
    <w:basedOn w:val="1"/>
    <w:autoRedefine/>
    <w:qFormat/>
    <w:uiPriority w:val="0"/>
    <w:pPr>
      <w:jc w:val="left"/>
    </w:pPr>
    <w:rPr>
      <w:rFonts w:ascii="Calibri" w:hAnsi="Calibri" w:eastAsia="宋体" w:cs="Times New Roman"/>
    </w:rPr>
  </w:style>
  <w:style w:type="paragraph" w:styleId="6">
    <w:name w:val="Body Text"/>
    <w:basedOn w:val="1"/>
    <w:next w:val="1"/>
    <w:autoRedefine/>
    <w:qFormat/>
    <w:uiPriority w:val="0"/>
    <w:pPr>
      <w:spacing w:after="120"/>
    </w:pPr>
  </w:style>
  <w:style w:type="paragraph" w:styleId="7">
    <w:name w:val="Body Text Indent"/>
    <w:basedOn w:val="1"/>
    <w:next w:val="4"/>
    <w:autoRedefine/>
    <w:qFormat/>
    <w:uiPriority w:val="0"/>
    <w:pPr>
      <w:widowControl/>
      <w:spacing w:after="120" w:afterAutospacing="0"/>
      <w:ind w:left="420" w:leftChars="200"/>
      <w:jc w:val="left"/>
    </w:pPr>
    <w:rPr>
      <w:kern w:val="0"/>
      <w:sz w:val="20"/>
      <w:szCs w:val="20"/>
      <w:lang w:val="en-GB" w:eastAsia="en-US"/>
    </w:rPr>
  </w:style>
  <w:style w:type="paragraph" w:styleId="8">
    <w:name w:val="Body Text 2"/>
    <w:basedOn w:val="1"/>
    <w:next w:val="6"/>
    <w:qFormat/>
    <w:uiPriority w:val="0"/>
    <w:pPr>
      <w:spacing w:after="120" w:line="480" w:lineRule="auto"/>
    </w:pPr>
  </w:style>
  <w:style w:type="paragraph" w:styleId="9">
    <w:name w:val="Body Text First Indent"/>
    <w:basedOn w:val="6"/>
    <w:autoRedefine/>
    <w:qFormat/>
    <w:uiPriority w:val="0"/>
    <w:pPr>
      <w:widowControl w:val="0"/>
      <w:spacing w:after="120"/>
      <w:ind w:firstLine="420" w:firstLineChars="100"/>
      <w:jc w:val="both"/>
    </w:pPr>
    <w:rPr>
      <w:kern w:val="2"/>
      <w:sz w:val="21"/>
      <w:szCs w:val="24"/>
      <w:lang w:val="en-US" w:eastAsia="zh-CN" w:bidi="ar-SA"/>
    </w:rPr>
  </w:style>
  <w:style w:type="paragraph" w:styleId="10">
    <w:name w:val="Body Text First Indent 2"/>
    <w:basedOn w:val="7"/>
    <w:autoRedefine/>
    <w:unhideWhenUsed/>
    <w:qFormat/>
    <w:uiPriority w:val="99"/>
    <w:pPr>
      <w:spacing w:before="100" w:beforeAutospacing="1"/>
      <w:ind w:left="200" w:firstLine="420"/>
    </w:pPr>
  </w:style>
  <w:style w:type="character" w:customStyle="1" w:styleId="13">
    <w:name w:val="font12"/>
    <w:basedOn w:val="12"/>
    <w:autoRedefine/>
    <w:qFormat/>
    <w:uiPriority w:val="0"/>
    <w:rPr>
      <w:rFonts w:hint="eastAsia" w:ascii="仿宋" w:hAnsi="仿宋" w:eastAsia="仿宋" w:cs="仿宋"/>
      <w:b/>
      <w:bCs/>
      <w:color w:val="000000"/>
      <w:sz w:val="24"/>
      <w:szCs w:val="24"/>
      <w:u w:val="none"/>
    </w:rPr>
  </w:style>
  <w:style w:type="character" w:customStyle="1" w:styleId="14">
    <w:name w:val="font111"/>
    <w:basedOn w:val="12"/>
    <w:autoRedefine/>
    <w:qFormat/>
    <w:uiPriority w:val="0"/>
    <w:rPr>
      <w:rFonts w:hint="eastAsia" w:ascii="宋体" w:hAnsi="宋体" w:eastAsia="宋体" w:cs="宋体"/>
      <w:color w:val="000000"/>
      <w:sz w:val="22"/>
      <w:szCs w:val="22"/>
      <w:u w:val="none"/>
    </w:rPr>
  </w:style>
  <w:style w:type="character" w:customStyle="1" w:styleId="15">
    <w:name w:val="font122"/>
    <w:basedOn w:val="12"/>
    <w:autoRedefine/>
    <w:qFormat/>
    <w:uiPriority w:val="0"/>
    <w:rPr>
      <w:rFonts w:hint="eastAsia" w:ascii="仿宋" w:hAnsi="仿宋" w:eastAsia="仿宋" w:cs="仿宋"/>
      <w:color w:val="000000"/>
      <w:sz w:val="24"/>
      <w:szCs w:val="24"/>
      <w:u w:val="none"/>
    </w:rPr>
  </w:style>
  <w:style w:type="character" w:customStyle="1" w:styleId="16">
    <w:name w:val="font221"/>
    <w:basedOn w:val="12"/>
    <w:autoRedefine/>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1735</Words>
  <Characters>2010</Characters>
  <Lines>0</Lines>
  <Paragraphs>0</Paragraphs>
  <TotalTime>0</TotalTime>
  <ScaleCrop>false</ScaleCrop>
  <LinksUpToDate>false</LinksUpToDate>
  <CharactersWithSpaces>2026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cp:lastPrinted>2025-10-27T09:01:00Z</cp:lastPrinted>
  <dcterms:modified xsi:type="dcterms:W3CDTF">2025-10-31T07:39:47Z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