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0EA6D">
      <w:pPr>
        <w:spacing w:line="560" w:lineRule="exact"/>
        <w:ind w:firstLine="632" w:firstLineChars="200"/>
      </w:pPr>
    </w:p>
    <w:p w14:paraId="4E60460A">
      <w:pPr>
        <w:pStyle w:val="12"/>
        <w:ind w:left="0" w:leftChars="0" w:firstLine="0" w:firstLineChars="0"/>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中铝物流集团有限公司</w:t>
      </w:r>
    </w:p>
    <w:p w14:paraId="18A9D7AB">
      <w:pPr>
        <w:pStyle w:val="17"/>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关于邀请参与西芒杜铁矿破碎加工（日照港）项目</w:t>
      </w:r>
    </w:p>
    <w:p w14:paraId="0768963F">
      <w:pPr>
        <w:pStyle w:val="17"/>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造价咨询服务询比价文件</w:t>
      </w:r>
    </w:p>
    <w:p w14:paraId="6DA80237">
      <w:pPr>
        <w:pStyle w:val="12"/>
        <w:spacing w:line="560" w:lineRule="exact"/>
        <w:rPr>
          <w:rFonts w:ascii="仿宋" w:hAnsi="仿宋" w:eastAsia="仿宋" w:cs="仿宋"/>
        </w:rPr>
      </w:pPr>
    </w:p>
    <w:p w14:paraId="619D2DF8">
      <w:pPr>
        <w:pStyle w:val="12"/>
        <w:widowControl/>
        <w:rPr>
          <w:rFonts w:ascii="仿宋" w:hAnsi="仿宋" w:eastAsia="仿宋" w:cs="仿宋"/>
          <w:color w:val="auto"/>
          <w:highlight w:val="none"/>
        </w:rPr>
      </w:pPr>
      <w:r>
        <w:rPr>
          <w:rFonts w:hint="eastAsia" w:ascii="仿宋" w:hAnsi="仿宋" w:eastAsia="仿宋" w:cs="仿宋"/>
        </w:rPr>
        <w:t>根据中铝物流集团有限公司（以下简称中铝物流）发展战略，拟在山东省日照港集团港口内</w:t>
      </w:r>
      <w:r>
        <w:rPr>
          <w:rFonts w:hint="eastAsia" w:ascii="仿宋" w:hAnsi="仿宋" w:eastAsia="仿宋" w:cs="仿宋"/>
          <w:lang w:val="en-US" w:eastAsia="zh-CN"/>
        </w:rPr>
        <w:t>建设</w:t>
      </w:r>
      <w:r>
        <w:rPr>
          <w:rFonts w:hint="eastAsia" w:ascii="仿宋" w:hAnsi="仿宋" w:eastAsia="仿宋" w:cs="仿宋"/>
        </w:rPr>
        <w:t>西芒杜铁矿破碎加工项目（以下简称该项目</w:t>
      </w:r>
      <w:r>
        <w:rPr>
          <w:rFonts w:hint="eastAsia" w:ascii="仿宋" w:hAnsi="仿宋" w:eastAsia="仿宋" w:cs="仿宋"/>
          <w:lang w:eastAsia="zh-CN"/>
        </w:rPr>
        <w:t>）。</w:t>
      </w:r>
      <w:r>
        <w:rPr>
          <w:rFonts w:hint="eastAsia" w:ascii="仿宋" w:hAnsi="仿宋" w:eastAsia="仿宋" w:cs="仿宋"/>
        </w:rPr>
        <w:t>现采取询比价采购的方式引进</w:t>
      </w:r>
      <w:r>
        <w:rPr>
          <w:rFonts w:ascii="仿宋" w:hAnsi="仿宋" w:eastAsia="仿宋" w:cs="仿宋"/>
        </w:rPr>
        <w:t xml:space="preserve"> 1 </w:t>
      </w:r>
      <w:r>
        <w:rPr>
          <w:rFonts w:hint="eastAsia" w:ascii="仿宋" w:hAnsi="仿宋" w:eastAsia="仿宋" w:cs="仿宋"/>
        </w:rPr>
        <w:t>家造价咨询</w:t>
      </w:r>
      <w:r>
        <w:rPr>
          <w:rFonts w:hint="eastAsia" w:ascii="仿宋" w:hAnsi="仿宋" w:eastAsia="仿宋" w:cs="仿宋"/>
          <w:lang w:val="en-US" w:eastAsia="zh-CN"/>
        </w:rPr>
        <w:t>服务</w:t>
      </w:r>
      <w:r>
        <w:rPr>
          <w:rFonts w:hint="eastAsia" w:ascii="仿宋" w:hAnsi="仿宋" w:eastAsia="仿宋" w:cs="仿宋"/>
        </w:rPr>
        <w:t>公司为</w:t>
      </w:r>
      <w:r>
        <w:rPr>
          <w:rFonts w:hint="eastAsia" w:ascii="仿宋" w:hAnsi="仿宋" w:eastAsia="仿宋" w:cs="仿宋"/>
          <w:lang w:val="en-US" w:eastAsia="zh-CN"/>
        </w:rPr>
        <w:t>该</w:t>
      </w:r>
      <w:r>
        <w:rPr>
          <w:rFonts w:hint="eastAsia" w:ascii="仿宋" w:hAnsi="仿宋" w:eastAsia="仿宋" w:cs="仿宋"/>
          <w:color w:val="auto"/>
          <w:highlight w:val="none"/>
        </w:rPr>
        <w:t>项目提供服务，欢迎贵公司参加报价，具体要求如下：</w:t>
      </w:r>
    </w:p>
    <w:p w14:paraId="5BA88CEB">
      <w:pPr>
        <w:pStyle w:val="2"/>
        <w:widowControl/>
        <w:numPr>
          <w:ilvl w:val="0"/>
          <w:numId w:val="0"/>
        </w:numPr>
        <w:ind w:firstLine="640" w:firstLineChars="0"/>
        <w:rPr>
          <w:rFonts w:ascii="仿宋" w:hAnsi="仿宋" w:eastAsia="仿宋" w:cs="仿宋"/>
          <w:color w:val="auto"/>
          <w:highlight w:val="none"/>
        </w:rPr>
      </w:pPr>
      <w:r>
        <w:rPr>
          <w:rFonts w:hint="eastAsia" w:ascii="仿宋" w:hAnsi="仿宋" w:eastAsia="仿宋" w:cs="仿宋"/>
          <w:color w:val="auto"/>
          <w:highlight w:val="none"/>
        </w:rPr>
        <w:t>一、工程概况：</w:t>
      </w:r>
    </w:p>
    <w:p w14:paraId="7BF26C07">
      <w:pPr>
        <w:pStyle w:val="12"/>
        <w:widowControl/>
        <w:numPr>
          <w:ilvl w:val="0"/>
          <w:numId w:val="1"/>
        </w:numPr>
        <w:ind w:firstLineChars="0"/>
        <w:rPr>
          <w:rFonts w:ascii="仿宋" w:hAnsi="仿宋" w:eastAsia="仿宋" w:cs="仿宋"/>
          <w:color w:val="auto"/>
          <w:highlight w:val="none"/>
        </w:rPr>
      </w:pPr>
      <w:r>
        <w:rPr>
          <w:rFonts w:hint="eastAsia" w:ascii="仿宋" w:hAnsi="仿宋" w:eastAsia="仿宋" w:cs="仿宋"/>
          <w:color w:val="auto"/>
          <w:highlight w:val="none"/>
        </w:rPr>
        <w:t>工程名称：【西芒杜铁矿破碎加工（日照港）项目】；</w:t>
      </w:r>
    </w:p>
    <w:p w14:paraId="5EE61B22">
      <w:pPr>
        <w:pStyle w:val="12"/>
        <w:widowControl/>
        <w:numPr>
          <w:ilvl w:val="0"/>
          <w:numId w:val="1"/>
        </w:numPr>
        <w:ind w:firstLineChars="0"/>
        <w:rPr>
          <w:rFonts w:ascii="仿宋" w:hAnsi="仿宋" w:eastAsia="仿宋" w:cs="仿宋"/>
          <w:color w:val="auto"/>
          <w:highlight w:val="none"/>
        </w:rPr>
      </w:pPr>
      <w:r>
        <w:rPr>
          <w:rFonts w:hint="eastAsia" w:ascii="仿宋" w:hAnsi="仿宋" w:eastAsia="仿宋" w:cs="仿宋"/>
          <w:color w:val="auto"/>
          <w:highlight w:val="none"/>
        </w:rPr>
        <w:t>工程地点：【山东省日照市日照港石臼港区南区】；</w:t>
      </w:r>
    </w:p>
    <w:p w14:paraId="32BD98AF">
      <w:pPr>
        <w:pStyle w:val="12"/>
        <w:widowControl/>
        <w:numPr>
          <w:ilvl w:val="0"/>
          <w:numId w:val="1"/>
        </w:numPr>
        <w:ind w:firstLineChars="0"/>
        <w:rPr>
          <w:rFonts w:ascii="仿宋" w:hAnsi="仿宋" w:eastAsia="仿宋" w:cs="仿宋"/>
          <w:color w:val="auto"/>
          <w:highlight w:val="none"/>
        </w:rPr>
      </w:pPr>
      <w:r>
        <w:rPr>
          <w:rFonts w:hint="eastAsia" w:ascii="仿宋" w:hAnsi="仿宋" w:eastAsia="仿宋" w:cs="仿宋"/>
          <w:color w:val="auto"/>
          <w:highlight w:val="none"/>
        </w:rPr>
        <w:t>建设规模：项目用地约350亩。工程概算投资额：4</w:t>
      </w:r>
      <w:r>
        <w:rPr>
          <w:rFonts w:ascii="仿宋" w:hAnsi="仿宋" w:eastAsia="仿宋" w:cs="仿宋"/>
          <w:color w:val="auto"/>
          <w:highlight w:val="none"/>
        </w:rPr>
        <w:t>9195.83</w:t>
      </w:r>
      <w:r>
        <w:rPr>
          <w:rFonts w:hint="eastAsia" w:ascii="仿宋" w:hAnsi="仿宋" w:eastAsia="仿宋" w:cs="仿宋"/>
          <w:color w:val="auto"/>
          <w:highlight w:val="none"/>
        </w:rPr>
        <w:t>万元，建筑面积约16956.94平方米。工程</w:t>
      </w:r>
      <w:r>
        <w:rPr>
          <w:rFonts w:hint="eastAsia" w:ascii="仿宋" w:hAnsi="仿宋" w:eastAsia="仿宋" w:cs="仿宋"/>
          <w:color w:val="auto"/>
          <w:highlight w:val="none"/>
          <w:lang w:val="en-US" w:eastAsia="zh-CN"/>
        </w:rPr>
        <w:t>期限自</w:t>
      </w:r>
      <w:r>
        <w:rPr>
          <w:rFonts w:ascii="仿宋" w:hAnsi="仿宋" w:eastAsia="仿宋" w:cs="仿宋"/>
          <w:color w:val="auto"/>
          <w:highlight w:val="none"/>
        </w:rPr>
        <w:t>2025</w:t>
      </w:r>
      <w:r>
        <w:rPr>
          <w:rFonts w:hint="eastAsia" w:ascii="仿宋" w:hAnsi="仿宋" w:eastAsia="仿宋" w:cs="仿宋"/>
          <w:color w:val="auto"/>
          <w:highlight w:val="none"/>
        </w:rPr>
        <w:t>年</w:t>
      </w:r>
      <w:r>
        <w:rPr>
          <w:rFonts w:ascii="仿宋" w:hAnsi="仿宋" w:eastAsia="仿宋" w:cs="仿宋"/>
          <w:color w:val="auto"/>
          <w:highlight w:val="none"/>
        </w:rPr>
        <w:t>4</w:t>
      </w:r>
      <w:r>
        <w:rPr>
          <w:rFonts w:hint="eastAsia" w:ascii="仿宋" w:hAnsi="仿宋" w:eastAsia="仿宋" w:cs="仿宋"/>
          <w:color w:val="auto"/>
          <w:highlight w:val="none"/>
        </w:rPr>
        <w:t>月至2</w:t>
      </w:r>
      <w:r>
        <w:rPr>
          <w:rFonts w:ascii="仿宋" w:hAnsi="仿宋" w:eastAsia="仿宋" w:cs="仿宋"/>
          <w:color w:val="auto"/>
          <w:highlight w:val="none"/>
        </w:rPr>
        <w:t>027</w:t>
      </w:r>
      <w:r>
        <w:rPr>
          <w:rFonts w:hint="eastAsia" w:ascii="仿宋" w:hAnsi="仿宋" w:eastAsia="仿宋" w:cs="仿宋"/>
          <w:color w:val="auto"/>
          <w:highlight w:val="none"/>
        </w:rPr>
        <w:t>年1月</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以实际工期为准</w:t>
      </w:r>
      <w:r>
        <w:rPr>
          <w:rFonts w:hint="eastAsia" w:ascii="仿宋" w:hAnsi="仿宋" w:eastAsia="仿宋" w:cs="仿宋"/>
          <w:color w:val="auto"/>
          <w:highlight w:val="none"/>
        </w:rPr>
        <w:t>。</w:t>
      </w:r>
    </w:p>
    <w:p w14:paraId="2D61E8E6">
      <w:pPr>
        <w:pStyle w:val="12"/>
        <w:widowControl/>
        <w:numPr>
          <w:ilvl w:val="0"/>
          <w:numId w:val="1"/>
        </w:numPr>
        <w:ind w:firstLineChars="0"/>
        <w:rPr>
          <w:rFonts w:ascii="仿宋" w:hAnsi="仿宋" w:eastAsia="仿宋" w:cs="仿宋"/>
          <w:color w:val="auto"/>
          <w:highlight w:val="none"/>
        </w:rPr>
      </w:pPr>
      <w:r>
        <w:rPr>
          <w:rFonts w:hint="eastAsia" w:ascii="仿宋" w:hAnsi="仿宋" w:eastAsia="仿宋" w:cs="仿宋"/>
          <w:color w:val="auto"/>
          <w:highlight w:val="none"/>
        </w:rPr>
        <w:t>主要建设内容：分料仓</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中细碎及筛分车间</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成品堆场、2条坝基、</w:t>
      </w:r>
      <w:r>
        <w:rPr>
          <w:rFonts w:ascii="仿宋" w:hAnsi="仿宋" w:eastAsia="仿宋" w:cs="仿宋"/>
          <w:color w:val="auto"/>
          <w:highlight w:val="none"/>
        </w:rPr>
        <w:t>2</w:t>
      </w:r>
      <w:r>
        <w:rPr>
          <w:rFonts w:hint="eastAsia" w:ascii="仿宋" w:hAnsi="仿宋" w:eastAsia="仿宋" w:cs="仿宋"/>
          <w:color w:val="auto"/>
          <w:highlight w:val="none"/>
        </w:rPr>
        <w:t>条疏港皮带、取样站、配电室、2#转运站、3#转运站等主要生产设施、辅助生产设施、公用设施、仓储设施及办公生活设施等等。</w:t>
      </w:r>
    </w:p>
    <w:p w14:paraId="43B742BE">
      <w:pPr>
        <w:pStyle w:val="2"/>
        <w:widowControl/>
        <w:numPr>
          <w:ilvl w:val="0"/>
          <w:numId w:val="0"/>
        </w:numPr>
        <w:ind w:firstLine="640" w:firstLineChars="0"/>
        <w:rPr>
          <w:rFonts w:ascii="仿宋" w:hAnsi="仿宋" w:eastAsia="仿宋" w:cs="仿宋"/>
          <w:color w:val="auto"/>
          <w:highlight w:val="none"/>
        </w:rPr>
      </w:pPr>
      <w:r>
        <w:rPr>
          <w:rFonts w:hint="eastAsia" w:ascii="仿宋" w:hAnsi="仿宋" w:eastAsia="仿宋" w:cs="仿宋"/>
          <w:color w:val="auto"/>
          <w:highlight w:val="none"/>
        </w:rPr>
        <w:t>二、造价咨询范围与内容：</w:t>
      </w:r>
    </w:p>
    <w:p w14:paraId="55100A72">
      <w:pPr>
        <w:pStyle w:val="12"/>
        <w:widowControl/>
        <w:rPr>
          <w:rFonts w:hint="eastAsia" w:ascii="仿宋" w:hAnsi="仿宋" w:eastAsia="仿宋" w:cs="仿宋"/>
          <w:color w:val="auto"/>
          <w:highlight w:val="none"/>
          <w:lang w:eastAsia="zh-CN"/>
        </w:rPr>
      </w:pPr>
      <w:r>
        <w:rPr>
          <w:rFonts w:ascii="仿宋" w:hAnsi="仿宋" w:eastAsia="仿宋" w:cs="仿宋"/>
          <w:color w:val="auto"/>
          <w:highlight w:val="none"/>
        </w:rPr>
        <w:t>1.</w:t>
      </w:r>
      <w:r>
        <w:rPr>
          <w:rFonts w:hint="eastAsia" w:ascii="仿宋" w:hAnsi="仿宋" w:eastAsia="仿宋" w:cs="仿宋"/>
          <w:color w:val="auto"/>
          <w:highlight w:val="none"/>
        </w:rPr>
        <w:t>根据设计图纸</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工程量清单</w:t>
      </w:r>
      <w:r>
        <w:rPr>
          <w:rFonts w:hint="eastAsia" w:ascii="仿宋" w:hAnsi="仿宋" w:eastAsia="仿宋" w:cs="仿宋"/>
          <w:color w:val="auto"/>
          <w:highlight w:val="none"/>
        </w:rPr>
        <w:t>编制工程预算</w:t>
      </w:r>
      <w:r>
        <w:rPr>
          <w:rFonts w:hint="eastAsia" w:ascii="仿宋" w:hAnsi="仿宋" w:eastAsia="仿宋" w:cs="仿宋"/>
          <w:color w:val="auto"/>
          <w:highlight w:val="none"/>
          <w:lang w:eastAsia="zh-CN"/>
        </w:rPr>
        <w:t>；</w:t>
      </w:r>
    </w:p>
    <w:p w14:paraId="14AF8E13">
      <w:pPr>
        <w:pStyle w:val="12"/>
        <w:widowControl/>
        <w:rPr>
          <w:rFonts w:hint="eastAsia" w:ascii="仿宋" w:hAnsi="仿宋" w:eastAsia="仿宋" w:cs="仿宋"/>
          <w:color w:val="auto"/>
          <w:highlight w:val="none"/>
          <w:lang w:eastAsia="zh-CN"/>
        </w:rPr>
      </w:pPr>
      <w:r>
        <w:rPr>
          <w:rFonts w:ascii="仿宋" w:hAnsi="仿宋" w:eastAsia="仿宋" w:cs="仿宋"/>
          <w:color w:val="auto"/>
          <w:highlight w:val="none"/>
        </w:rPr>
        <w:t>2.</w:t>
      </w:r>
      <w:r>
        <w:rPr>
          <w:rFonts w:hint="eastAsia" w:ascii="仿宋" w:hAnsi="仿宋" w:eastAsia="仿宋" w:cs="仿宋"/>
          <w:color w:val="auto"/>
          <w:highlight w:val="none"/>
        </w:rPr>
        <w:t>根据</w:t>
      </w:r>
      <w:r>
        <w:rPr>
          <w:rFonts w:hint="eastAsia" w:ascii="仿宋" w:hAnsi="仿宋" w:eastAsia="仿宋" w:cs="仿宋"/>
          <w:color w:val="auto"/>
          <w:highlight w:val="none"/>
          <w:lang w:val="en-US" w:eastAsia="zh-CN"/>
        </w:rPr>
        <w:t>各施工</w:t>
      </w:r>
      <w:r>
        <w:rPr>
          <w:rFonts w:hint="eastAsia" w:ascii="仿宋" w:hAnsi="仿宋" w:eastAsia="仿宋" w:cs="仿宋"/>
          <w:color w:val="auto"/>
          <w:highlight w:val="none"/>
        </w:rPr>
        <w:t>单位</w:t>
      </w:r>
      <w:r>
        <w:rPr>
          <w:rFonts w:hint="eastAsia" w:ascii="仿宋" w:hAnsi="仿宋" w:eastAsia="仿宋" w:cs="仿宋"/>
          <w:color w:val="auto"/>
          <w:highlight w:val="none"/>
          <w:lang w:val="en-US" w:eastAsia="zh-CN"/>
        </w:rPr>
        <w:t>所签</w:t>
      </w:r>
      <w:r>
        <w:rPr>
          <w:rFonts w:hint="eastAsia" w:ascii="仿宋" w:hAnsi="仿宋" w:eastAsia="仿宋" w:cs="仿宋"/>
          <w:color w:val="auto"/>
          <w:highlight w:val="none"/>
        </w:rPr>
        <w:t>合同及</w:t>
      </w:r>
      <w:r>
        <w:rPr>
          <w:rFonts w:hint="eastAsia" w:ascii="仿宋" w:hAnsi="仿宋" w:eastAsia="仿宋" w:cs="仿宋"/>
          <w:color w:val="auto"/>
          <w:highlight w:val="none"/>
          <w:lang w:val="en-US" w:eastAsia="zh-CN"/>
        </w:rPr>
        <w:t>施工完成</w:t>
      </w:r>
      <w:r>
        <w:rPr>
          <w:rFonts w:hint="eastAsia" w:ascii="仿宋" w:hAnsi="仿宋" w:eastAsia="仿宋" w:cs="仿宋"/>
          <w:color w:val="auto"/>
          <w:highlight w:val="none"/>
        </w:rPr>
        <w:t>进度</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按月审核</w:t>
      </w:r>
      <w:r>
        <w:rPr>
          <w:rFonts w:hint="eastAsia" w:ascii="仿宋" w:hAnsi="仿宋" w:eastAsia="仿宋" w:cs="仿宋"/>
          <w:color w:val="auto"/>
          <w:highlight w:val="none"/>
          <w:lang w:val="en-US" w:eastAsia="zh-CN"/>
        </w:rPr>
        <w:t>工程量及工程施工进度款</w:t>
      </w:r>
      <w:r>
        <w:rPr>
          <w:rFonts w:hint="eastAsia" w:ascii="仿宋" w:hAnsi="仿宋" w:eastAsia="仿宋" w:cs="仿宋"/>
          <w:color w:val="auto"/>
          <w:highlight w:val="none"/>
          <w:lang w:eastAsia="zh-CN"/>
        </w:rPr>
        <w:t>；</w:t>
      </w:r>
    </w:p>
    <w:p w14:paraId="6C932E65">
      <w:pPr>
        <w:pStyle w:val="12"/>
        <w:widowControl/>
        <w:rPr>
          <w:rFonts w:hint="eastAsia" w:ascii="仿宋" w:hAnsi="仿宋" w:eastAsia="仿宋" w:cs="仿宋"/>
          <w:color w:val="auto"/>
          <w:highlight w:val="none"/>
          <w:lang w:eastAsia="zh-CN"/>
        </w:rPr>
      </w:pPr>
      <w:r>
        <w:rPr>
          <w:rFonts w:ascii="仿宋" w:hAnsi="仿宋" w:eastAsia="仿宋" w:cs="仿宋"/>
          <w:color w:val="auto"/>
          <w:highlight w:val="none"/>
        </w:rPr>
        <w:t>3.</w:t>
      </w:r>
      <w:r>
        <w:rPr>
          <w:rFonts w:hint="eastAsia" w:ascii="仿宋" w:hAnsi="仿宋" w:eastAsia="仿宋" w:cs="仿宋"/>
          <w:color w:val="auto"/>
          <w:highlight w:val="none"/>
          <w:lang w:val="en-US" w:eastAsia="zh-CN"/>
        </w:rPr>
        <w:t>负责对</w:t>
      </w:r>
      <w:r>
        <w:rPr>
          <w:rFonts w:hint="eastAsia" w:ascii="仿宋" w:hAnsi="仿宋" w:eastAsia="仿宋" w:cs="仿宋"/>
          <w:color w:val="auto"/>
          <w:highlight w:val="none"/>
        </w:rPr>
        <w:t>工程变更</w:t>
      </w:r>
      <w:r>
        <w:rPr>
          <w:rFonts w:hint="eastAsia" w:ascii="仿宋" w:hAnsi="仿宋" w:eastAsia="仿宋" w:cs="仿宋"/>
          <w:color w:val="auto"/>
          <w:highlight w:val="none"/>
          <w:lang w:val="en-US" w:eastAsia="zh-CN"/>
        </w:rPr>
        <w:t>及核定所涉及的工程量及款项进行</w:t>
      </w:r>
      <w:r>
        <w:rPr>
          <w:rFonts w:hint="eastAsia" w:ascii="仿宋" w:hAnsi="仿宋" w:eastAsia="仿宋" w:cs="仿宋"/>
          <w:color w:val="auto"/>
          <w:highlight w:val="none"/>
        </w:rPr>
        <w:t>计算</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审核</w:t>
      </w:r>
      <w:r>
        <w:rPr>
          <w:rFonts w:hint="eastAsia" w:ascii="仿宋" w:hAnsi="仿宋" w:eastAsia="仿宋" w:cs="仿宋"/>
          <w:color w:val="auto"/>
          <w:highlight w:val="none"/>
          <w:lang w:eastAsia="zh-CN"/>
        </w:rPr>
        <w:t>；</w:t>
      </w:r>
    </w:p>
    <w:p w14:paraId="67CDEA82">
      <w:pPr>
        <w:pStyle w:val="12"/>
        <w:widowControl/>
        <w:rPr>
          <w:rFonts w:hint="eastAsia" w:ascii="仿宋" w:hAnsi="仿宋" w:eastAsia="仿宋" w:cs="仿宋"/>
          <w:color w:val="auto"/>
          <w:highlight w:val="none"/>
          <w:lang w:eastAsia="zh-CN"/>
        </w:rPr>
      </w:pPr>
      <w:r>
        <w:rPr>
          <w:rFonts w:ascii="仿宋" w:hAnsi="仿宋" w:eastAsia="仿宋" w:cs="仿宋"/>
          <w:color w:val="auto"/>
          <w:highlight w:val="none"/>
        </w:rPr>
        <w:t>4.</w:t>
      </w:r>
      <w:r>
        <w:rPr>
          <w:rFonts w:hint="eastAsia" w:ascii="仿宋" w:hAnsi="仿宋" w:eastAsia="仿宋" w:cs="仿宋"/>
          <w:color w:val="auto"/>
          <w:highlight w:val="none"/>
          <w:lang w:val="en-US" w:eastAsia="zh-CN"/>
        </w:rPr>
        <w:t>负责</w:t>
      </w:r>
      <w:r>
        <w:rPr>
          <w:rFonts w:hint="eastAsia" w:ascii="仿宋" w:hAnsi="仿宋" w:eastAsia="仿宋" w:cs="仿宋"/>
          <w:color w:val="auto"/>
          <w:highlight w:val="none"/>
        </w:rPr>
        <w:t>协助工程结算及审计</w:t>
      </w:r>
      <w:r>
        <w:rPr>
          <w:rFonts w:hint="eastAsia" w:ascii="仿宋" w:hAnsi="仿宋" w:eastAsia="仿宋" w:cs="仿宋"/>
          <w:color w:val="auto"/>
          <w:highlight w:val="none"/>
          <w:lang w:eastAsia="zh-CN"/>
        </w:rPr>
        <w:t>。</w:t>
      </w:r>
    </w:p>
    <w:p w14:paraId="28ED5C79">
      <w:pPr>
        <w:pStyle w:val="2"/>
        <w:widowControl/>
        <w:spacing w:line="560" w:lineRule="exact"/>
        <w:ind w:firstLine="640" w:firstLineChars="0"/>
        <w:jc w:val="left"/>
        <w:rPr>
          <w:rFonts w:ascii="仿宋" w:hAnsi="仿宋" w:eastAsia="仿宋" w:cs="仿宋"/>
          <w:color w:val="auto"/>
          <w:sz w:val="24"/>
          <w:szCs w:val="30"/>
          <w:highlight w:val="none"/>
        </w:rPr>
      </w:pPr>
      <w:r>
        <w:rPr>
          <w:rFonts w:hint="eastAsia" w:ascii="仿宋" w:hAnsi="仿宋" w:eastAsia="仿宋" w:cs="仿宋"/>
          <w:color w:val="auto"/>
          <w:highlight w:val="none"/>
        </w:rPr>
        <w:t>三、资格要求：</w:t>
      </w:r>
    </w:p>
    <w:tbl>
      <w:tblPr>
        <w:tblStyle w:val="23"/>
        <w:tblW w:w="500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48" w:type="dxa"/>
          <w:left w:w="0" w:type="dxa"/>
          <w:bottom w:w="48" w:type="dxa"/>
          <w:right w:w="0" w:type="dxa"/>
        </w:tblCellMar>
      </w:tblPr>
      <w:tblGrid>
        <w:gridCol w:w="1340"/>
        <w:gridCol w:w="7526"/>
      </w:tblGrid>
      <w:tr w14:paraId="25DB7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8" w:type="dxa"/>
            <w:left w:w="0" w:type="dxa"/>
            <w:bottom w:w="48" w:type="dxa"/>
            <w:right w:w="0" w:type="dxa"/>
          </w:tblCellMar>
        </w:tblPrEx>
        <w:trPr>
          <w:trHeight w:val="637" w:hRule="atLeast"/>
          <w:jc w:val="center"/>
        </w:trPr>
        <w:tc>
          <w:tcPr>
            <w:tcW w:w="755" w:type="pct"/>
            <w:vAlign w:val="center"/>
          </w:tcPr>
          <w:p w14:paraId="39A5DA58">
            <w:pPr>
              <w:pStyle w:val="24"/>
              <w:spacing w:before="216" w:line="560" w:lineRule="exact"/>
              <w:jc w:val="center"/>
              <w:rPr>
                <w:rFonts w:ascii="仿宋" w:hAnsi="仿宋" w:eastAsia="仿宋" w:cs="仿宋"/>
                <w:color w:val="auto"/>
                <w:sz w:val="30"/>
                <w:szCs w:val="30"/>
                <w:highlight w:val="none"/>
              </w:rPr>
            </w:pPr>
            <w:r>
              <w:rPr>
                <w:rFonts w:hint="eastAsia" w:ascii="仿宋" w:hAnsi="仿宋" w:eastAsia="仿宋" w:cs="仿宋"/>
                <w:color w:val="auto"/>
                <w:spacing w:val="-6"/>
                <w:sz w:val="30"/>
                <w:szCs w:val="30"/>
                <w:highlight w:val="none"/>
              </w:rPr>
              <w:t>资格项目</w:t>
            </w:r>
          </w:p>
        </w:tc>
        <w:tc>
          <w:tcPr>
            <w:tcW w:w="4241" w:type="pct"/>
            <w:vAlign w:val="center"/>
          </w:tcPr>
          <w:p w14:paraId="5E177659">
            <w:pPr>
              <w:pStyle w:val="24"/>
              <w:spacing w:before="216" w:line="560" w:lineRule="exact"/>
              <w:jc w:val="center"/>
              <w:rPr>
                <w:rFonts w:ascii="仿宋" w:hAnsi="仿宋" w:eastAsia="仿宋" w:cs="仿宋"/>
                <w:color w:val="auto"/>
                <w:sz w:val="30"/>
                <w:szCs w:val="30"/>
                <w:highlight w:val="none"/>
              </w:rPr>
            </w:pPr>
            <w:r>
              <w:rPr>
                <w:rFonts w:hint="eastAsia" w:ascii="仿宋" w:hAnsi="仿宋" w:eastAsia="仿宋" w:cs="仿宋"/>
                <w:color w:val="auto"/>
                <w:spacing w:val="-6"/>
                <w:sz w:val="30"/>
                <w:szCs w:val="30"/>
                <w:highlight w:val="none"/>
              </w:rPr>
              <w:t>资格要求</w:t>
            </w:r>
          </w:p>
        </w:tc>
      </w:tr>
      <w:tr w14:paraId="4221E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8" w:type="dxa"/>
            <w:left w:w="0" w:type="dxa"/>
            <w:bottom w:w="48" w:type="dxa"/>
            <w:right w:w="0" w:type="dxa"/>
          </w:tblCellMar>
        </w:tblPrEx>
        <w:trPr>
          <w:trHeight w:val="2594" w:hRule="atLeast"/>
          <w:jc w:val="center"/>
        </w:trPr>
        <w:tc>
          <w:tcPr>
            <w:tcW w:w="755" w:type="pct"/>
            <w:vAlign w:val="center"/>
          </w:tcPr>
          <w:p w14:paraId="54B6491D">
            <w:pPr>
              <w:pStyle w:val="24"/>
              <w:spacing w:before="0" w:line="560" w:lineRule="exact"/>
              <w:jc w:val="center"/>
              <w:rPr>
                <w:rFonts w:ascii="仿宋" w:hAnsi="仿宋" w:eastAsia="仿宋" w:cs="仿宋"/>
                <w:color w:val="auto"/>
                <w:sz w:val="30"/>
                <w:szCs w:val="30"/>
                <w:highlight w:val="none"/>
              </w:rPr>
            </w:pPr>
            <w:r>
              <w:rPr>
                <w:rFonts w:hint="eastAsia" w:ascii="仿宋" w:hAnsi="仿宋" w:eastAsia="仿宋" w:cs="仿宋"/>
                <w:color w:val="auto"/>
                <w:spacing w:val="-6"/>
                <w:sz w:val="30"/>
                <w:szCs w:val="30"/>
                <w:highlight w:val="none"/>
              </w:rPr>
              <w:t>资质要求</w:t>
            </w:r>
          </w:p>
        </w:tc>
        <w:tc>
          <w:tcPr>
            <w:tcW w:w="4241" w:type="pct"/>
            <w:vAlign w:val="center"/>
          </w:tcPr>
          <w:p w14:paraId="1E75F5BE">
            <w:pPr>
              <w:pStyle w:val="24"/>
              <w:spacing w:before="0" w:line="560" w:lineRule="exact"/>
              <w:ind w:left="0" w:right="0" w:firstLine="584" w:firstLineChars="200"/>
              <w:rPr>
                <w:rFonts w:ascii="仿宋" w:hAnsi="仿宋" w:eastAsia="仿宋" w:cs="仿宋"/>
                <w:color w:val="auto"/>
                <w:sz w:val="30"/>
                <w:szCs w:val="30"/>
                <w:highlight w:val="none"/>
                <w:lang w:eastAsia="zh-CN"/>
              </w:rPr>
            </w:pPr>
            <w:r>
              <w:rPr>
                <w:rFonts w:hint="eastAsia" w:ascii="仿宋" w:hAnsi="仿宋" w:eastAsia="仿宋" w:cs="仿宋"/>
                <w:color w:val="auto"/>
                <w:spacing w:val="-2"/>
                <w:sz w:val="30"/>
                <w:szCs w:val="30"/>
                <w:highlight w:val="none"/>
                <w:lang w:eastAsia="zh-CN"/>
              </w:rPr>
              <w:t>在中华人民共和国境内注册，具有独立的民事诉讼主</w:t>
            </w:r>
            <w:r>
              <w:rPr>
                <w:rFonts w:hint="eastAsia" w:ascii="仿宋" w:hAnsi="仿宋" w:eastAsia="仿宋" w:cs="仿宋"/>
                <w:color w:val="auto"/>
                <w:spacing w:val="-3"/>
                <w:sz w:val="30"/>
                <w:szCs w:val="30"/>
                <w:highlight w:val="none"/>
                <w:lang w:eastAsia="zh-CN"/>
              </w:rPr>
              <w:t>体资格、</w:t>
            </w:r>
            <w:r>
              <w:rPr>
                <w:rFonts w:ascii="仿宋" w:hAnsi="仿宋" w:eastAsia="仿宋" w:cs="仿宋"/>
                <w:color w:val="auto"/>
                <w:sz w:val="30"/>
                <w:szCs w:val="30"/>
                <w:highlight w:val="none"/>
                <w:lang w:eastAsia="zh-CN"/>
              </w:rPr>
              <w:t xml:space="preserve"> </w:t>
            </w:r>
            <w:r>
              <w:rPr>
                <w:rFonts w:hint="eastAsia" w:ascii="仿宋" w:hAnsi="仿宋" w:eastAsia="仿宋" w:cs="仿宋"/>
                <w:color w:val="auto"/>
                <w:spacing w:val="-2"/>
                <w:sz w:val="30"/>
                <w:szCs w:val="30"/>
                <w:highlight w:val="none"/>
                <w:lang w:eastAsia="zh-CN"/>
              </w:rPr>
              <w:t>符合相关法律法规要求、能够独立履行合同。（相关信息以国家企</w:t>
            </w:r>
            <w:r>
              <w:rPr>
                <w:rFonts w:hint="eastAsia" w:ascii="仿宋" w:hAnsi="仿宋" w:eastAsia="仿宋" w:cs="仿宋"/>
                <w:color w:val="auto"/>
                <w:spacing w:val="-1"/>
                <w:sz w:val="30"/>
                <w:szCs w:val="30"/>
                <w:highlight w:val="none"/>
                <w:lang w:eastAsia="zh-CN"/>
              </w:rPr>
              <w:t>业信用信息公示系统</w:t>
            </w:r>
            <w:r>
              <w:rPr>
                <w:rFonts w:ascii="仿宋" w:hAnsi="仿宋" w:eastAsia="仿宋" w:cs="仿宋"/>
                <w:color w:val="auto"/>
                <w:spacing w:val="-59"/>
                <w:sz w:val="30"/>
                <w:szCs w:val="30"/>
                <w:highlight w:val="none"/>
                <w:lang w:eastAsia="zh-CN"/>
              </w:rPr>
              <w:t xml:space="preserve"> </w:t>
            </w:r>
            <w:r>
              <w:rPr>
                <w:rFonts w:ascii="仿宋" w:hAnsi="仿宋" w:eastAsia="仿宋" w:cs="仿宋"/>
                <w:color w:val="auto"/>
                <w:spacing w:val="-1"/>
                <w:sz w:val="30"/>
                <w:szCs w:val="30"/>
                <w:highlight w:val="none"/>
                <w:lang w:eastAsia="zh-CN"/>
              </w:rPr>
              <w:t>http://www.gsxt.gov.cn/查询结果为准）</w:t>
            </w:r>
            <w:r>
              <w:rPr>
                <w:rFonts w:hint="eastAsia" w:cs="仿宋"/>
                <w:color w:val="auto"/>
                <w:spacing w:val="-1"/>
                <w:sz w:val="30"/>
                <w:szCs w:val="30"/>
                <w:highlight w:val="none"/>
                <w:lang w:eastAsia="zh-CN"/>
              </w:rPr>
              <w:t>。</w:t>
            </w:r>
          </w:p>
          <w:p w14:paraId="2D8E7C4A">
            <w:pPr>
              <w:pStyle w:val="24"/>
              <w:spacing w:before="0" w:line="560" w:lineRule="exact"/>
              <w:ind w:left="0" w:right="0" w:firstLine="588"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pacing w:val="-1"/>
                <w:sz w:val="30"/>
                <w:szCs w:val="30"/>
                <w:highlight w:val="none"/>
                <w:lang w:eastAsia="zh-CN"/>
              </w:rPr>
              <w:t>具备工程造价咨询服务许可业务</w:t>
            </w:r>
            <w:r>
              <w:rPr>
                <w:rFonts w:hint="eastAsia"/>
                <w:color w:val="auto"/>
                <w:spacing w:val="-1"/>
                <w:sz w:val="30"/>
                <w:szCs w:val="30"/>
                <w:highlight w:val="none"/>
                <w:lang w:eastAsia="zh-CN"/>
              </w:rPr>
              <w:t>，一级注册造价工程师证书 （各专业）12人，且证企相符，并需提供近三个月（2024年12月-2025年2月）缴纳社保证明材料或其他证明材料。</w:t>
            </w:r>
            <w:r>
              <w:rPr>
                <w:rFonts w:hint="eastAsia"/>
                <w:color w:val="auto"/>
                <w:spacing w:val="-1"/>
                <w:sz w:val="30"/>
                <w:szCs w:val="30"/>
                <w:highlight w:val="none"/>
              </w:rPr>
              <w:t>注退休人员须提供退休证明材料</w:t>
            </w:r>
            <w:r>
              <w:rPr>
                <w:rFonts w:hint="eastAsia"/>
                <w:color w:val="auto"/>
                <w:spacing w:val="-1"/>
                <w:sz w:val="30"/>
                <w:szCs w:val="30"/>
                <w:highlight w:val="none"/>
                <w:lang w:eastAsia="zh-CN"/>
              </w:rPr>
              <w:t>。</w:t>
            </w:r>
          </w:p>
        </w:tc>
      </w:tr>
      <w:tr w14:paraId="24B23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8" w:type="dxa"/>
            <w:left w:w="0" w:type="dxa"/>
            <w:bottom w:w="48" w:type="dxa"/>
            <w:right w:w="0" w:type="dxa"/>
          </w:tblCellMar>
        </w:tblPrEx>
        <w:trPr>
          <w:trHeight w:val="1042" w:hRule="atLeast"/>
          <w:jc w:val="center"/>
        </w:trPr>
        <w:tc>
          <w:tcPr>
            <w:tcW w:w="755" w:type="pct"/>
            <w:vAlign w:val="center"/>
          </w:tcPr>
          <w:p w14:paraId="3994443E">
            <w:pPr>
              <w:pStyle w:val="24"/>
              <w:spacing w:before="0" w:line="560" w:lineRule="exact"/>
              <w:jc w:val="center"/>
              <w:rPr>
                <w:rFonts w:ascii="仿宋" w:hAnsi="仿宋" w:eastAsia="仿宋" w:cs="仿宋"/>
                <w:color w:val="auto"/>
                <w:sz w:val="30"/>
                <w:szCs w:val="30"/>
                <w:highlight w:val="none"/>
              </w:rPr>
            </w:pPr>
            <w:r>
              <w:rPr>
                <w:rFonts w:hint="eastAsia" w:ascii="仿宋" w:hAnsi="仿宋" w:eastAsia="仿宋" w:cs="仿宋"/>
                <w:color w:val="auto"/>
                <w:spacing w:val="-4"/>
                <w:sz w:val="30"/>
                <w:szCs w:val="30"/>
                <w:highlight w:val="none"/>
              </w:rPr>
              <w:t>财务要求</w:t>
            </w:r>
          </w:p>
        </w:tc>
        <w:tc>
          <w:tcPr>
            <w:tcW w:w="4241" w:type="pct"/>
            <w:vAlign w:val="center"/>
          </w:tcPr>
          <w:p w14:paraId="471F79CF">
            <w:pPr>
              <w:pStyle w:val="24"/>
              <w:spacing w:before="0" w:line="560" w:lineRule="exact"/>
              <w:ind w:left="0" w:right="0" w:firstLine="588" w:firstLineChars="200"/>
              <w:rPr>
                <w:rFonts w:ascii="仿宋" w:hAnsi="仿宋" w:eastAsia="仿宋" w:cs="仿宋"/>
                <w:color w:val="auto"/>
                <w:sz w:val="30"/>
                <w:szCs w:val="30"/>
                <w:highlight w:val="none"/>
                <w:lang w:eastAsia="zh-CN"/>
              </w:rPr>
            </w:pPr>
            <w:r>
              <w:rPr>
                <w:rFonts w:hint="eastAsia" w:ascii="仿宋" w:hAnsi="仿宋" w:eastAsia="仿宋" w:cs="仿宋"/>
                <w:color w:val="auto"/>
                <w:spacing w:val="-1"/>
                <w:sz w:val="30"/>
                <w:szCs w:val="30"/>
                <w:highlight w:val="none"/>
                <w:lang w:eastAsia="zh-CN"/>
              </w:rPr>
              <w:t>具有良好的银行资信和商业信誉</w:t>
            </w:r>
            <w:r>
              <w:rPr>
                <w:rFonts w:ascii="仿宋" w:hAnsi="仿宋" w:eastAsia="仿宋" w:cs="仿宋"/>
                <w:color w:val="auto"/>
                <w:spacing w:val="-1"/>
                <w:sz w:val="30"/>
                <w:szCs w:val="30"/>
                <w:highlight w:val="none"/>
                <w:lang w:eastAsia="zh-CN"/>
              </w:rPr>
              <w:t>,没有处于被责令停业，财产</w:t>
            </w:r>
            <w:r>
              <w:rPr>
                <w:rFonts w:hint="eastAsia" w:ascii="仿宋" w:hAnsi="仿宋" w:eastAsia="仿宋" w:cs="仿宋"/>
                <w:color w:val="auto"/>
                <w:spacing w:val="-4"/>
                <w:sz w:val="30"/>
                <w:szCs w:val="30"/>
                <w:highlight w:val="none"/>
                <w:lang w:eastAsia="zh-CN"/>
              </w:rPr>
              <w:t>被接管、冻结及破产状态。</w:t>
            </w:r>
          </w:p>
        </w:tc>
      </w:tr>
    </w:tbl>
    <w:p w14:paraId="5B6D8BCD">
      <w:pPr>
        <w:pStyle w:val="2"/>
        <w:widowControl/>
        <w:numPr>
          <w:ilvl w:val="0"/>
          <w:numId w:val="0"/>
        </w:numPr>
        <w:ind w:firstLine="640" w:firstLineChars="0"/>
        <w:rPr>
          <w:rFonts w:ascii="仿宋" w:hAnsi="仿宋" w:eastAsia="仿宋" w:cs="仿宋"/>
          <w:color w:val="auto"/>
          <w:highlight w:val="none"/>
        </w:rPr>
      </w:pPr>
      <w:r>
        <w:rPr>
          <w:rFonts w:hint="eastAsia" w:ascii="仿宋" w:hAnsi="仿宋" w:eastAsia="仿宋" w:cs="仿宋"/>
          <w:color w:val="auto"/>
          <w:highlight w:val="none"/>
        </w:rPr>
        <w:t>四、报价及付款方式</w:t>
      </w:r>
    </w:p>
    <w:p w14:paraId="1A0ED815">
      <w:pPr>
        <w:pStyle w:val="12"/>
        <w:widowControl/>
        <w:numPr>
          <w:ilvl w:val="0"/>
          <w:numId w:val="0"/>
        </w:numPr>
        <w:ind w:firstLine="640" w:firstLineChars="0"/>
        <w:rPr>
          <w:rFonts w:hint="eastAsia" w:ascii="仿宋" w:hAnsi="仿宋" w:eastAsia="仿宋" w:cs="仿宋"/>
          <w:color w:val="auto"/>
          <w:spacing w:val="-1"/>
          <w:sz w:val="30"/>
          <w:szCs w:val="30"/>
          <w:highlight w:val="none"/>
          <w:lang w:eastAsia="zh-CN"/>
        </w:rPr>
      </w:pPr>
      <w:r>
        <w:rPr>
          <w:rFonts w:ascii="仿宋" w:hAnsi="仿宋" w:eastAsia="仿宋" w:cs="仿宋"/>
          <w:color w:val="auto"/>
          <w:spacing w:val="-1"/>
          <w:sz w:val="30"/>
          <w:szCs w:val="30"/>
          <w:highlight w:val="none"/>
        </w:rPr>
        <w:t>1．</w:t>
      </w:r>
      <w:r>
        <w:rPr>
          <w:rFonts w:hint="eastAsia" w:ascii="仿宋" w:hAnsi="仿宋" w:eastAsia="仿宋" w:cs="仿宋"/>
          <w:color w:val="auto"/>
          <w:spacing w:val="-1"/>
          <w:sz w:val="30"/>
          <w:szCs w:val="30"/>
          <w:highlight w:val="none"/>
        </w:rPr>
        <w:t>报价要求为含税全包价，最高限价</w:t>
      </w:r>
      <w:r>
        <w:rPr>
          <w:rFonts w:ascii="仿宋" w:hAnsi="仿宋" w:eastAsia="仿宋" w:cs="仿宋"/>
          <w:color w:val="auto"/>
          <w:spacing w:val="-1"/>
          <w:sz w:val="30"/>
          <w:szCs w:val="30"/>
          <w:highlight w:val="none"/>
        </w:rPr>
        <w:t>95</w:t>
      </w:r>
      <w:r>
        <w:rPr>
          <w:rFonts w:hint="eastAsia" w:ascii="仿宋" w:hAnsi="仿宋" w:eastAsia="仿宋" w:cs="仿宋"/>
          <w:color w:val="auto"/>
          <w:spacing w:val="-1"/>
          <w:sz w:val="30"/>
          <w:szCs w:val="30"/>
          <w:highlight w:val="none"/>
        </w:rPr>
        <w:t>万元整。</w:t>
      </w:r>
      <w:r>
        <w:rPr>
          <w:rFonts w:hint="eastAsia" w:ascii="仿宋" w:hAnsi="仿宋" w:eastAsia="仿宋" w:cs="仿宋"/>
          <w:color w:val="auto"/>
          <w:highlight w:val="none"/>
        </w:rPr>
        <w:t>任何高于限价的报价均属于无效报价</w:t>
      </w:r>
      <w:r>
        <w:rPr>
          <w:rFonts w:hint="eastAsia" w:ascii="仿宋" w:hAnsi="仿宋" w:eastAsia="仿宋" w:cs="仿宋"/>
          <w:color w:val="auto"/>
          <w:highlight w:val="none"/>
          <w:lang w:eastAsia="zh-CN"/>
        </w:rPr>
        <w:t>。</w:t>
      </w:r>
    </w:p>
    <w:p w14:paraId="2B64391F">
      <w:pPr>
        <w:pStyle w:val="12"/>
        <w:widowControl/>
        <w:numPr>
          <w:ilvl w:val="0"/>
          <w:numId w:val="0"/>
        </w:numPr>
        <w:ind w:firstLine="588" w:firstLineChars="200"/>
        <w:rPr>
          <w:rFonts w:ascii="仿宋" w:hAnsi="仿宋" w:eastAsia="仿宋" w:cs="仿宋"/>
          <w:color w:val="auto"/>
          <w:highlight w:val="none"/>
        </w:rPr>
      </w:pPr>
      <w:r>
        <w:rPr>
          <w:rFonts w:ascii="仿宋" w:hAnsi="仿宋" w:eastAsia="仿宋" w:cs="仿宋"/>
          <w:color w:val="auto"/>
          <w:spacing w:val="-1"/>
          <w:sz w:val="30"/>
          <w:szCs w:val="30"/>
          <w:highlight w:val="none"/>
        </w:rPr>
        <w:t>2.</w:t>
      </w:r>
      <w:r>
        <w:rPr>
          <w:rFonts w:hint="eastAsia" w:ascii="仿宋" w:hAnsi="仿宋" w:eastAsia="仿宋" w:cs="仿宋"/>
          <w:color w:val="auto"/>
          <w:spacing w:val="-1"/>
          <w:sz w:val="30"/>
          <w:szCs w:val="30"/>
          <w:highlight w:val="none"/>
        </w:rPr>
        <w:t>付款频次及时间如下：预算编制完成付合同价款</w:t>
      </w:r>
      <w:r>
        <w:rPr>
          <w:rFonts w:ascii="仿宋" w:hAnsi="仿宋" w:eastAsia="仿宋" w:cs="仿宋"/>
          <w:color w:val="auto"/>
          <w:spacing w:val="-1"/>
          <w:sz w:val="30"/>
          <w:szCs w:val="30"/>
          <w:highlight w:val="none"/>
        </w:rPr>
        <w:t>30</w:t>
      </w:r>
      <w:r>
        <w:rPr>
          <w:rFonts w:hint="eastAsia" w:ascii="仿宋" w:hAnsi="仿宋" w:eastAsia="仿宋" w:cs="仿宋"/>
          <w:color w:val="auto"/>
          <w:spacing w:val="-1"/>
          <w:sz w:val="30"/>
          <w:szCs w:val="30"/>
          <w:highlight w:val="none"/>
        </w:rPr>
        <w:t>％，然后根据工程完成进度按季度分期支付，累计支付至总价款的</w:t>
      </w:r>
      <w:r>
        <w:rPr>
          <w:rFonts w:ascii="仿宋" w:hAnsi="仿宋" w:eastAsia="仿宋" w:cs="仿宋"/>
          <w:color w:val="auto"/>
          <w:spacing w:val="-1"/>
          <w:sz w:val="30"/>
          <w:szCs w:val="30"/>
          <w:highlight w:val="none"/>
        </w:rPr>
        <w:t>60%</w:t>
      </w:r>
      <w:r>
        <w:rPr>
          <w:rFonts w:hint="eastAsia" w:ascii="仿宋" w:hAnsi="仿宋" w:eastAsia="仿宋" w:cs="仿宋"/>
          <w:color w:val="auto"/>
          <w:spacing w:val="-1"/>
          <w:sz w:val="30"/>
          <w:szCs w:val="30"/>
          <w:highlight w:val="none"/>
        </w:rPr>
        <w:t>，剩余总价款的</w:t>
      </w:r>
      <w:r>
        <w:rPr>
          <w:rFonts w:ascii="仿宋" w:hAnsi="仿宋" w:eastAsia="仿宋" w:cs="仿宋"/>
          <w:color w:val="auto"/>
          <w:spacing w:val="-1"/>
          <w:sz w:val="30"/>
          <w:szCs w:val="30"/>
          <w:highlight w:val="none"/>
        </w:rPr>
        <w:t>10</w:t>
      </w:r>
      <w:r>
        <w:rPr>
          <w:rFonts w:hint="eastAsia" w:ascii="仿宋" w:hAnsi="仿宋" w:eastAsia="仿宋" w:cs="仿宋"/>
          <w:color w:val="auto"/>
          <w:spacing w:val="-1"/>
          <w:sz w:val="30"/>
          <w:szCs w:val="30"/>
          <w:highlight w:val="none"/>
        </w:rPr>
        <w:t>％待全部工程竣工结算审计结束后一次付清。</w:t>
      </w:r>
    </w:p>
    <w:p w14:paraId="7FD7468B">
      <w:pPr>
        <w:pStyle w:val="12"/>
        <w:widowControl/>
        <w:numPr>
          <w:ilvl w:val="255"/>
          <w:numId w:val="0"/>
        </w:numPr>
        <w:spacing w:line="560" w:lineRule="exact"/>
        <w:ind w:left="632" w:leftChars="200" w:firstLine="482"/>
        <w:jc w:val="left"/>
        <w:rPr>
          <w:rFonts w:ascii="仿宋" w:hAnsi="仿宋" w:eastAsia="仿宋" w:cs="仿宋"/>
          <w:color w:val="auto"/>
          <w:sz w:val="24"/>
          <w:szCs w:val="30"/>
          <w:highlight w:val="none"/>
        </w:rPr>
      </w:pPr>
    </w:p>
    <w:p w14:paraId="2B4696F8">
      <w:pPr>
        <w:pStyle w:val="2"/>
        <w:widowControl/>
        <w:numPr>
          <w:ilvl w:val="0"/>
          <w:numId w:val="0"/>
        </w:numPr>
        <w:ind w:firstLine="640" w:firstLineChars="0"/>
        <w:rPr>
          <w:rFonts w:ascii="仿宋" w:hAnsi="仿宋" w:eastAsia="仿宋" w:cs="仿宋"/>
          <w:color w:val="auto"/>
          <w:highlight w:val="none"/>
        </w:rPr>
      </w:pPr>
      <w:r>
        <w:rPr>
          <w:rFonts w:ascii="仿宋" w:hAnsi="仿宋" w:eastAsia="仿宋" w:cs="仿宋"/>
          <w:color w:val="auto"/>
          <w:sz w:val="24"/>
          <w:szCs w:val="30"/>
          <w:highlight w:val="none"/>
        </w:rPr>
        <mc:AlternateContent>
          <mc:Choice Requires="wps">
            <w:drawing>
              <wp:anchor distT="0" distB="0" distL="114300" distR="114300" simplePos="0" relativeHeight="251659264" behindDoc="0" locked="0" layoutInCell="0" allowOverlap="1">
                <wp:simplePos x="0" y="0"/>
                <wp:positionH relativeFrom="page">
                  <wp:posOffset>254000</wp:posOffset>
                </wp:positionH>
                <wp:positionV relativeFrom="paragraph">
                  <wp:posOffset>-8420735</wp:posOffset>
                </wp:positionV>
                <wp:extent cx="719455" cy="360045"/>
                <wp:effectExtent l="0" t="0" r="12065" b="5715"/>
                <wp:wrapNone/>
                <wp:docPr id="4" name="矩形 5"/>
                <wp:cNvGraphicFramePr/>
                <a:graphic xmlns:a="http://schemas.openxmlformats.org/drawingml/2006/main">
                  <a:graphicData uri="http://schemas.microsoft.com/office/word/2010/wordprocessingShape">
                    <wps:wsp>
                      <wps:cNvSpPr/>
                      <wps:spPr>
                        <a:xfrm>
                          <a:off x="0" y="0"/>
                          <a:ext cx="719455" cy="360045"/>
                        </a:xfrm>
                        <a:prstGeom prst="rect">
                          <a:avLst/>
                        </a:prstGeom>
                        <a:solidFill>
                          <a:srgbClr val="E4E4E4"/>
                        </a:solidFill>
                        <a:ln>
                          <a:noFill/>
                        </a:ln>
                        <a:effectLst/>
                      </wps:spPr>
                      <wps:bodyPr upright="1"/>
                    </wps:wsp>
                  </a:graphicData>
                </a:graphic>
              </wp:anchor>
            </w:drawing>
          </mc:Choice>
          <mc:Fallback>
            <w:pict>
              <v:rect id="矩形 5" o:spid="_x0000_s1026" o:spt="1" style="position:absolute;left:0pt;margin-left:20pt;margin-top:-663.05pt;height:28.35pt;width:56.65pt;mso-position-horizontal-relative:page;z-index:251659264;mso-width-relative:page;mso-height-relative:page;" fillcolor="#E4E4E4" filled="t" stroked="f" coordsize="21600,21600" o:allowincell="f" o:gfxdata="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zg/Pi2wAAAA4BAAAPAAAAAAAAAAEAIAAAACIAAABkcnMvZG93bnJldi54bWxQSwEC&#10;FAAUAAAACACHTuJAlLZBErgBAABsAwAADgAAAAAAAAABACAAAAAqAQAAZHJzL2Uyb0RvYy54bWxQ&#10;SwUGAAAAAAYABgBZAQAAVAUAAAAA&#10;">
                <v:fill on="t" focussize="0,0"/>
                <v:stroke on="f"/>
                <v:imagedata o:title=""/>
                <o:lock v:ext="edit" aspectratio="f"/>
              </v:rect>
            </w:pict>
          </mc:Fallback>
        </mc:AlternateContent>
      </w:r>
      <w:r>
        <w:rPr>
          <w:rFonts w:hint="eastAsia" w:ascii="仿宋" w:hAnsi="仿宋" w:eastAsia="仿宋" w:cs="仿宋"/>
          <w:color w:val="auto"/>
          <w:highlight w:val="none"/>
        </w:rPr>
        <w:t>五、评标办法</w:t>
      </w:r>
    </w:p>
    <w:p w14:paraId="765CA6CD">
      <w:pPr>
        <w:pStyle w:val="12"/>
        <w:widowControl/>
        <w:rPr>
          <w:rFonts w:ascii="仿宋" w:hAnsi="仿宋" w:eastAsia="仿宋" w:cs="仿宋"/>
          <w:color w:val="auto"/>
          <w:highlight w:val="none"/>
        </w:rPr>
      </w:pPr>
      <w:r>
        <w:rPr>
          <w:rFonts w:hint="eastAsia" w:ascii="仿宋" w:hAnsi="仿宋" w:eastAsia="仿宋" w:cs="仿宋"/>
          <w:color w:val="auto"/>
          <w:highlight w:val="none"/>
        </w:rPr>
        <w:t>采用综合评估法：本次评标采用综合评估法。评审委员会对满足询价文件实质性要求的报价文件，将按以下评估细则对各报价单位的报价文件进行独立打分，最终各评委打分的算术平均值为报价单位的综合得分，按综合得分由高到低推荐中标候选人排序；得分相同的，按报价由低到高顺序排列；得分且报价相同的，按技术部分得分由高到低顺序排列。</w:t>
      </w:r>
    </w:p>
    <w:p w14:paraId="354E7296">
      <w:pPr>
        <w:pStyle w:val="12"/>
        <w:widowControl/>
        <w:rPr>
          <w:rFonts w:ascii="仿宋" w:hAnsi="仿宋" w:eastAsia="仿宋" w:cs="仿宋"/>
          <w:color w:val="auto"/>
          <w:highlight w:val="none"/>
        </w:rPr>
      </w:pPr>
      <w:r>
        <w:rPr>
          <w:rFonts w:hint="eastAsia" w:ascii="仿宋" w:hAnsi="仿宋" w:eastAsia="仿宋" w:cs="仿宋"/>
          <w:color w:val="auto"/>
          <w:highlight w:val="none"/>
        </w:rPr>
        <w:t>评审时对有效报价单位报价文件按报价部分、商务部分、技术部分进行综合评分，评分细则如下：</w:t>
      </w:r>
    </w:p>
    <w:tbl>
      <w:tblPr>
        <w:tblStyle w:val="18"/>
        <w:tblW w:w="4997" w:type="pct"/>
        <w:jc w:val="center"/>
        <w:tblLayout w:type="autofit"/>
        <w:tblCellMar>
          <w:top w:w="48" w:type="dxa"/>
          <w:left w:w="108" w:type="dxa"/>
          <w:bottom w:w="48" w:type="dxa"/>
          <w:right w:w="108" w:type="dxa"/>
        </w:tblCellMar>
      </w:tblPr>
      <w:tblGrid>
        <w:gridCol w:w="1206"/>
        <w:gridCol w:w="1211"/>
        <w:gridCol w:w="1207"/>
        <w:gridCol w:w="841"/>
        <w:gridCol w:w="4591"/>
      </w:tblGrid>
      <w:tr w14:paraId="7E0E96F2">
        <w:tblPrEx>
          <w:tblCellMar>
            <w:top w:w="48" w:type="dxa"/>
            <w:left w:w="108" w:type="dxa"/>
            <w:bottom w:w="48" w:type="dxa"/>
            <w:right w:w="108" w:type="dxa"/>
          </w:tblCellMar>
        </w:tblPrEx>
        <w:trPr>
          <w:trHeight w:val="702" w:hRule="atLeast"/>
          <w:jc w:val="center"/>
        </w:trPr>
        <w:tc>
          <w:tcPr>
            <w:tcW w:w="1335" w:type="pct"/>
            <w:gridSpan w:val="2"/>
            <w:tcBorders>
              <w:top w:val="single" w:color="000000" w:sz="4" w:space="0"/>
              <w:left w:val="single" w:color="000000" w:sz="4" w:space="0"/>
              <w:bottom w:val="single" w:color="000000" w:sz="4" w:space="0"/>
              <w:right w:val="nil"/>
            </w:tcBorders>
            <w:vAlign w:val="center"/>
          </w:tcPr>
          <w:p w14:paraId="09B81A56">
            <w:pPr>
              <w:suppressAutoHyphens/>
              <w:spacing w:line="440" w:lineRule="exact"/>
              <w:rPr>
                <w:rFonts w:ascii="仿宋" w:hAnsi="仿宋" w:eastAsia="仿宋" w:cs="仿宋"/>
                <w:color w:val="auto"/>
                <w:sz w:val="30"/>
                <w:szCs w:val="30"/>
                <w:highlight w:val="none"/>
                <w:lang w:eastAsia="ar-SA"/>
              </w:rPr>
            </w:pPr>
            <w:r>
              <w:rPr>
                <w:rFonts w:hint="eastAsia" w:ascii="仿宋" w:hAnsi="仿宋" w:eastAsia="仿宋" w:cs="仿宋"/>
                <w:color w:val="auto"/>
                <w:sz w:val="30"/>
                <w:szCs w:val="30"/>
                <w:highlight w:val="none"/>
                <w:lang w:eastAsia="ar-SA"/>
              </w:rPr>
              <w:t>分值构成</w:t>
            </w:r>
          </w:p>
          <w:p w14:paraId="14861111">
            <w:pPr>
              <w:suppressAutoHyphens/>
              <w:spacing w:line="440" w:lineRule="exact"/>
              <w:rPr>
                <w:rFonts w:ascii="仿宋" w:hAnsi="仿宋" w:eastAsia="仿宋" w:cs="仿宋"/>
                <w:color w:val="auto"/>
                <w:sz w:val="30"/>
                <w:szCs w:val="30"/>
                <w:highlight w:val="none"/>
                <w:lang w:eastAsia="ar-SA"/>
              </w:rPr>
            </w:pPr>
            <w:r>
              <w:rPr>
                <w:rFonts w:hint="eastAsia" w:ascii="仿宋" w:hAnsi="仿宋" w:eastAsia="仿宋" w:cs="仿宋"/>
                <w:color w:val="auto"/>
                <w:sz w:val="30"/>
                <w:szCs w:val="30"/>
                <w:highlight w:val="none"/>
                <w:lang w:eastAsia="ar-SA"/>
              </w:rPr>
              <w:t>（总分</w:t>
            </w:r>
            <w:r>
              <w:rPr>
                <w:rFonts w:ascii="仿宋" w:hAnsi="仿宋" w:eastAsia="仿宋" w:cs="仿宋"/>
                <w:color w:val="auto"/>
                <w:sz w:val="30"/>
                <w:szCs w:val="30"/>
                <w:highlight w:val="none"/>
                <w:lang w:eastAsia="ar-SA"/>
              </w:rPr>
              <w:t>100分）</w:t>
            </w:r>
          </w:p>
        </w:tc>
        <w:tc>
          <w:tcPr>
            <w:tcW w:w="3664" w:type="pct"/>
            <w:gridSpan w:val="3"/>
            <w:tcBorders>
              <w:top w:val="single" w:color="000000" w:sz="4" w:space="0"/>
              <w:left w:val="single" w:color="000000" w:sz="4" w:space="0"/>
              <w:bottom w:val="single" w:color="000000" w:sz="4" w:space="0"/>
              <w:right w:val="single" w:color="000000" w:sz="4" w:space="0"/>
            </w:tcBorders>
            <w:vAlign w:val="center"/>
          </w:tcPr>
          <w:p w14:paraId="78CDCADC">
            <w:pPr>
              <w:suppressAutoHyphens/>
              <w:spacing w:line="440" w:lineRule="exact"/>
              <w:ind w:firstLine="592"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1.商务部分A权重：</w:t>
            </w:r>
            <w:r>
              <w:rPr>
                <w:rFonts w:ascii="仿宋" w:hAnsi="仿宋" w:eastAsia="仿宋" w:cs="仿宋"/>
                <w:color w:val="auto"/>
                <w:sz w:val="30"/>
                <w:szCs w:val="30"/>
                <w:highlight w:val="none"/>
                <w:u w:val="single"/>
              </w:rPr>
              <w:t>25</w:t>
            </w:r>
            <w:r>
              <w:rPr>
                <w:rFonts w:hint="eastAsia" w:ascii="仿宋" w:hAnsi="仿宋" w:eastAsia="仿宋" w:cs="仿宋"/>
                <w:color w:val="auto"/>
                <w:sz w:val="30"/>
                <w:szCs w:val="30"/>
                <w:highlight w:val="none"/>
              </w:rPr>
              <w:t>分</w:t>
            </w:r>
          </w:p>
          <w:p w14:paraId="62EEF934">
            <w:pPr>
              <w:suppressAutoHyphens/>
              <w:spacing w:line="440" w:lineRule="exact"/>
              <w:ind w:firstLine="592"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2.技术部分B权重：</w:t>
            </w:r>
            <w:r>
              <w:rPr>
                <w:rFonts w:ascii="仿宋" w:hAnsi="仿宋" w:eastAsia="仿宋" w:cs="仿宋"/>
                <w:color w:val="auto"/>
                <w:sz w:val="30"/>
                <w:szCs w:val="30"/>
                <w:highlight w:val="none"/>
                <w:u w:val="single"/>
              </w:rPr>
              <w:t>25</w:t>
            </w:r>
            <w:r>
              <w:rPr>
                <w:rFonts w:hint="eastAsia" w:ascii="仿宋" w:hAnsi="仿宋" w:eastAsia="仿宋" w:cs="仿宋"/>
                <w:color w:val="auto"/>
                <w:sz w:val="30"/>
                <w:szCs w:val="30"/>
                <w:highlight w:val="none"/>
              </w:rPr>
              <w:t>分</w:t>
            </w:r>
          </w:p>
          <w:p w14:paraId="7E320BB9">
            <w:pPr>
              <w:suppressAutoHyphens/>
              <w:spacing w:line="440" w:lineRule="exact"/>
              <w:ind w:firstLine="592" w:firstLineChars="200"/>
              <w:rPr>
                <w:rFonts w:ascii="仿宋" w:hAnsi="仿宋" w:eastAsia="仿宋" w:cs="仿宋"/>
                <w:color w:val="auto"/>
                <w:sz w:val="30"/>
                <w:szCs w:val="30"/>
                <w:highlight w:val="none"/>
              </w:rPr>
            </w:pPr>
            <w:r>
              <w:rPr>
                <w:rFonts w:ascii="仿宋" w:hAnsi="仿宋" w:eastAsia="仿宋" w:cs="仿宋"/>
                <w:color w:val="auto"/>
                <w:sz w:val="30"/>
                <w:szCs w:val="30"/>
                <w:highlight w:val="none"/>
              </w:rPr>
              <w:t xml:space="preserve">3.报价部分C权重： </w:t>
            </w:r>
            <w:r>
              <w:rPr>
                <w:rFonts w:ascii="仿宋" w:hAnsi="仿宋" w:eastAsia="仿宋" w:cs="仿宋"/>
                <w:color w:val="auto"/>
                <w:sz w:val="30"/>
                <w:szCs w:val="30"/>
                <w:highlight w:val="none"/>
                <w:u w:val="single"/>
              </w:rPr>
              <w:t>50</w:t>
            </w:r>
            <w:r>
              <w:rPr>
                <w:rFonts w:hint="eastAsia" w:ascii="仿宋" w:hAnsi="仿宋" w:eastAsia="仿宋" w:cs="仿宋"/>
                <w:color w:val="auto"/>
                <w:sz w:val="30"/>
                <w:szCs w:val="30"/>
                <w:highlight w:val="none"/>
              </w:rPr>
              <w:t>分</w:t>
            </w:r>
          </w:p>
        </w:tc>
      </w:tr>
      <w:tr w14:paraId="7D3CB1F4">
        <w:tblPrEx>
          <w:tblCellMar>
            <w:top w:w="48" w:type="dxa"/>
            <w:left w:w="108" w:type="dxa"/>
            <w:bottom w:w="48" w:type="dxa"/>
            <w:right w:w="108" w:type="dxa"/>
          </w:tblCellMar>
        </w:tblPrEx>
        <w:trPr>
          <w:trHeight w:val="542" w:hRule="atLeast"/>
          <w:jc w:val="center"/>
        </w:trPr>
        <w:tc>
          <w:tcPr>
            <w:tcW w:w="1335" w:type="pct"/>
            <w:gridSpan w:val="2"/>
            <w:tcBorders>
              <w:top w:val="single" w:color="000000" w:sz="4" w:space="0"/>
              <w:left w:val="single" w:color="000000" w:sz="4" w:space="0"/>
              <w:bottom w:val="single" w:color="000000" w:sz="4" w:space="0"/>
              <w:right w:val="nil"/>
            </w:tcBorders>
            <w:vAlign w:val="center"/>
          </w:tcPr>
          <w:p w14:paraId="442868BF">
            <w:pPr>
              <w:suppressAutoHyphens/>
              <w:spacing w:line="440" w:lineRule="exact"/>
              <w:rPr>
                <w:rFonts w:ascii="仿宋" w:hAnsi="仿宋" w:eastAsia="仿宋" w:cs="仿宋"/>
                <w:color w:val="auto"/>
                <w:sz w:val="30"/>
                <w:szCs w:val="30"/>
                <w:highlight w:val="none"/>
                <w:lang w:eastAsia="ar-SA"/>
              </w:rPr>
            </w:pPr>
            <w:r>
              <w:rPr>
                <w:rFonts w:hint="eastAsia" w:ascii="仿宋" w:hAnsi="仿宋" w:eastAsia="仿宋" w:cs="仿宋"/>
                <w:color w:val="auto"/>
                <w:sz w:val="30"/>
                <w:szCs w:val="30"/>
                <w:highlight w:val="none"/>
              </w:rPr>
              <w:t>评标基准价计算方法</w:t>
            </w:r>
          </w:p>
        </w:tc>
        <w:tc>
          <w:tcPr>
            <w:tcW w:w="3664" w:type="pct"/>
            <w:gridSpan w:val="3"/>
            <w:tcBorders>
              <w:top w:val="single" w:color="000000" w:sz="4" w:space="0"/>
              <w:left w:val="single" w:color="000000" w:sz="4" w:space="0"/>
              <w:bottom w:val="single" w:color="000000" w:sz="4" w:space="0"/>
              <w:right w:val="single" w:color="000000" w:sz="4" w:space="0"/>
            </w:tcBorders>
            <w:vAlign w:val="center"/>
          </w:tcPr>
          <w:p w14:paraId="0CC42EDD">
            <w:pPr>
              <w:spacing w:line="440" w:lineRule="exac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评标基准价为所有有效报价人报价的算术平均值。</w:t>
            </w:r>
          </w:p>
        </w:tc>
      </w:tr>
      <w:tr w14:paraId="49D26F7B">
        <w:tblPrEx>
          <w:tblCellMar>
            <w:top w:w="48" w:type="dxa"/>
            <w:left w:w="108" w:type="dxa"/>
            <w:bottom w:w="48" w:type="dxa"/>
            <w:right w:w="108" w:type="dxa"/>
          </w:tblCellMar>
        </w:tblPrEx>
        <w:trPr>
          <w:trHeight w:val="90" w:hRule="atLeast"/>
          <w:jc w:val="center"/>
        </w:trPr>
        <w:tc>
          <w:tcPr>
            <w:tcW w:w="1335" w:type="pct"/>
            <w:gridSpan w:val="2"/>
            <w:tcBorders>
              <w:top w:val="single" w:color="000000" w:sz="4" w:space="0"/>
              <w:left w:val="single" w:color="000000" w:sz="4" w:space="0"/>
              <w:bottom w:val="single" w:color="000000" w:sz="4" w:space="0"/>
              <w:right w:val="nil"/>
            </w:tcBorders>
            <w:vAlign w:val="center"/>
          </w:tcPr>
          <w:p w14:paraId="6F66B00A">
            <w:pPr>
              <w:suppressAutoHyphens/>
              <w:spacing w:line="440" w:lineRule="exact"/>
              <w:rPr>
                <w:rFonts w:ascii="仿宋" w:hAnsi="仿宋" w:eastAsia="仿宋" w:cs="仿宋"/>
                <w:color w:val="auto"/>
                <w:sz w:val="30"/>
                <w:szCs w:val="30"/>
                <w:highlight w:val="none"/>
                <w:lang w:eastAsia="ar-SA"/>
              </w:rPr>
            </w:pPr>
            <w:r>
              <w:rPr>
                <w:rFonts w:hint="eastAsia" w:ascii="仿宋" w:hAnsi="仿宋" w:eastAsia="仿宋" w:cs="仿宋"/>
                <w:color w:val="auto"/>
                <w:sz w:val="30"/>
                <w:szCs w:val="30"/>
                <w:highlight w:val="none"/>
                <w:lang w:eastAsia="ar-SA"/>
              </w:rPr>
              <w:t>报价的偏差率计算公式</w:t>
            </w:r>
          </w:p>
        </w:tc>
        <w:tc>
          <w:tcPr>
            <w:tcW w:w="3664" w:type="pct"/>
            <w:gridSpan w:val="3"/>
            <w:tcBorders>
              <w:top w:val="single" w:color="000000" w:sz="4" w:space="0"/>
              <w:left w:val="single" w:color="000000" w:sz="4" w:space="0"/>
              <w:bottom w:val="single" w:color="000000" w:sz="4" w:space="0"/>
              <w:right w:val="single" w:color="000000" w:sz="4" w:space="0"/>
            </w:tcBorders>
            <w:vAlign w:val="center"/>
          </w:tcPr>
          <w:p w14:paraId="460C879D">
            <w:pPr>
              <w:widowControl/>
              <w:suppressAutoHyphens/>
              <w:adjustRightInd w:val="0"/>
              <w:spacing w:after="0" w:line="440" w:lineRule="exact"/>
              <w:rPr>
                <w:rFonts w:ascii="仿宋" w:hAnsi="仿宋" w:eastAsia="仿宋" w:cs="仿宋"/>
                <w:color w:val="auto"/>
                <w:sz w:val="30"/>
                <w:szCs w:val="30"/>
                <w:highlight w:val="none"/>
                <w:lang w:eastAsia="ar-SA"/>
              </w:rPr>
            </w:pPr>
            <w:r>
              <w:rPr>
                <w:rFonts w:hint="eastAsia" w:ascii="仿宋" w:hAnsi="仿宋" w:eastAsia="仿宋" w:cs="仿宋"/>
                <w:color w:val="auto"/>
                <w:sz w:val="30"/>
                <w:szCs w:val="30"/>
                <w:highlight w:val="none"/>
                <w:lang w:eastAsia="ar-SA"/>
              </w:rPr>
              <w:t>计算各</w:t>
            </w:r>
            <w:r>
              <w:rPr>
                <w:rFonts w:hint="eastAsia" w:ascii="仿宋" w:hAnsi="仿宋" w:eastAsia="仿宋" w:cs="仿宋"/>
                <w:color w:val="auto"/>
                <w:sz w:val="30"/>
                <w:szCs w:val="30"/>
                <w:highlight w:val="none"/>
              </w:rPr>
              <w:t>报价</w:t>
            </w:r>
            <w:r>
              <w:rPr>
                <w:rFonts w:hint="eastAsia" w:ascii="仿宋" w:hAnsi="仿宋" w:eastAsia="仿宋" w:cs="仿宋"/>
                <w:color w:val="auto"/>
                <w:sz w:val="30"/>
                <w:szCs w:val="30"/>
                <w:highlight w:val="none"/>
                <w:lang w:eastAsia="ar-SA"/>
              </w:rPr>
              <w:t>人报价偏差率δ：</w:t>
            </w:r>
          </w:p>
          <w:p w14:paraId="1833B4EF">
            <w:pPr>
              <w:widowControl/>
              <w:suppressAutoHyphens/>
              <w:adjustRightInd w:val="0"/>
              <w:spacing w:after="0" w:line="440" w:lineRule="exact"/>
              <w:rPr>
                <w:rFonts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ar-SA"/>
              </w:rPr>
              <w:t>δ</w:t>
            </w:r>
            <w:r>
              <w:rPr>
                <w:rFonts w:ascii="仿宋" w:hAnsi="仿宋" w:eastAsia="仿宋" w:cs="仿宋"/>
                <w:color w:val="auto"/>
                <w:sz w:val="30"/>
                <w:szCs w:val="30"/>
                <w:highlight w:val="none"/>
                <w:lang w:eastAsia="ar-SA"/>
              </w:rPr>
              <w:t>=（有效</w:t>
            </w:r>
            <w:r>
              <w:rPr>
                <w:rFonts w:hint="eastAsia" w:ascii="仿宋" w:hAnsi="仿宋" w:eastAsia="仿宋" w:cs="仿宋"/>
                <w:color w:val="auto"/>
                <w:sz w:val="30"/>
                <w:szCs w:val="30"/>
                <w:highlight w:val="none"/>
              </w:rPr>
              <w:t>报价</w:t>
            </w:r>
            <w:r>
              <w:rPr>
                <w:rFonts w:hint="eastAsia" w:ascii="仿宋" w:hAnsi="仿宋" w:eastAsia="仿宋" w:cs="仿宋"/>
                <w:color w:val="auto"/>
                <w:sz w:val="30"/>
                <w:szCs w:val="30"/>
                <w:highlight w:val="none"/>
                <w:lang w:eastAsia="ar-SA"/>
              </w:rPr>
              <w:t>人</w:t>
            </w:r>
            <w:r>
              <w:rPr>
                <w:rFonts w:hint="eastAsia" w:ascii="仿宋" w:hAnsi="仿宋" w:eastAsia="仿宋" w:cs="仿宋"/>
                <w:color w:val="auto"/>
                <w:sz w:val="30"/>
                <w:szCs w:val="30"/>
                <w:highlight w:val="none"/>
              </w:rPr>
              <w:t>报价</w:t>
            </w:r>
            <w:r>
              <w:rPr>
                <w:rFonts w:hint="eastAsia" w:ascii="仿宋" w:hAnsi="仿宋" w:eastAsia="仿宋" w:cs="仿宋"/>
                <w:color w:val="auto"/>
                <w:sz w:val="30"/>
                <w:szCs w:val="30"/>
                <w:highlight w:val="none"/>
                <w:lang w:eastAsia="ar-SA"/>
              </w:rPr>
              <w:t>－评标基准</w:t>
            </w:r>
            <w:r>
              <w:rPr>
                <w:rFonts w:hint="eastAsia" w:ascii="仿宋" w:hAnsi="仿宋" w:eastAsia="仿宋" w:cs="仿宋"/>
                <w:color w:val="auto"/>
                <w:sz w:val="30"/>
                <w:szCs w:val="30"/>
                <w:highlight w:val="none"/>
              </w:rPr>
              <w:t>价</w:t>
            </w:r>
            <w:r>
              <w:rPr>
                <w:rFonts w:hint="eastAsia" w:ascii="仿宋" w:hAnsi="仿宋" w:eastAsia="仿宋" w:cs="仿宋"/>
                <w:color w:val="auto"/>
                <w:sz w:val="30"/>
                <w:szCs w:val="30"/>
                <w:highlight w:val="none"/>
                <w:lang w:eastAsia="ar-SA"/>
              </w:rPr>
              <w:t>）÷评标基准价×</w:t>
            </w:r>
            <w:r>
              <w:rPr>
                <w:rFonts w:ascii="仿宋" w:hAnsi="仿宋" w:eastAsia="仿宋" w:cs="仿宋"/>
                <w:color w:val="auto"/>
                <w:sz w:val="30"/>
                <w:szCs w:val="30"/>
                <w:highlight w:val="none"/>
                <w:lang w:eastAsia="ar-SA"/>
              </w:rPr>
              <w:t>100%；</w:t>
            </w:r>
            <w:r>
              <w:rPr>
                <w:rFonts w:hint="eastAsia" w:ascii="仿宋" w:hAnsi="仿宋" w:eastAsia="仿宋" w:cs="仿宋"/>
                <w:color w:val="auto"/>
                <w:sz w:val="30"/>
                <w:szCs w:val="30"/>
                <w:highlight w:val="none"/>
              </w:rPr>
              <w:t>（和报价的评分无关）</w:t>
            </w:r>
          </w:p>
        </w:tc>
      </w:tr>
      <w:tr w14:paraId="7A0AE935">
        <w:tblPrEx>
          <w:tblCellMar>
            <w:top w:w="48" w:type="dxa"/>
            <w:left w:w="108" w:type="dxa"/>
            <w:bottom w:w="48" w:type="dxa"/>
            <w:right w:w="108" w:type="dxa"/>
          </w:tblCellMar>
        </w:tblPrEx>
        <w:trPr>
          <w:trHeight w:val="457" w:hRule="atLeast"/>
          <w:jc w:val="center"/>
        </w:trPr>
        <w:tc>
          <w:tcPr>
            <w:tcW w:w="1335" w:type="pct"/>
            <w:gridSpan w:val="2"/>
            <w:tcBorders>
              <w:top w:val="single" w:color="auto" w:sz="4" w:space="0"/>
              <w:left w:val="single" w:color="auto" w:sz="4" w:space="0"/>
              <w:bottom w:val="single" w:color="auto" w:sz="4" w:space="0"/>
              <w:right w:val="single" w:color="auto" w:sz="4" w:space="0"/>
            </w:tcBorders>
            <w:vAlign w:val="center"/>
          </w:tcPr>
          <w:p w14:paraId="48595521">
            <w:pPr>
              <w:suppressAutoHyphens/>
              <w:spacing w:line="440" w:lineRule="exact"/>
              <w:ind w:firstLine="592" w:firstLineChars="200"/>
              <w:rPr>
                <w:rFonts w:ascii="仿宋" w:hAnsi="仿宋" w:eastAsia="仿宋" w:cs="仿宋"/>
                <w:color w:val="auto"/>
                <w:sz w:val="30"/>
                <w:szCs w:val="30"/>
                <w:highlight w:val="none"/>
                <w:lang w:eastAsia="ar-SA"/>
              </w:rPr>
            </w:pPr>
            <w:r>
              <w:rPr>
                <w:rFonts w:hint="eastAsia" w:ascii="仿宋" w:hAnsi="仿宋" w:eastAsia="仿宋" w:cs="仿宋"/>
                <w:b/>
                <w:color w:val="auto"/>
                <w:sz w:val="30"/>
                <w:szCs w:val="30"/>
                <w:highlight w:val="none"/>
                <w:lang w:eastAsia="ar-SA"/>
              </w:rPr>
              <w:t>条款号</w:t>
            </w:r>
          </w:p>
        </w:tc>
        <w:tc>
          <w:tcPr>
            <w:tcW w:w="666" w:type="pct"/>
            <w:tcBorders>
              <w:top w:val="single" w:color="auto" w:sz="4" w:space="0"/>
              <w:left w:val="single" w:color="auto" w:sz="4" w:space="0"/>
              <w:bottom w:val="single" w:color="auto" w:sz="4" w:space="0"/>
              <w:right w:val="single" w:color="auto" w:sz="4" w:space="0"/>
            </w:tcBorders>
            <w:vAlign w:val="center"/>
          </w:tcPr>
          <w:p w14:paraId="6622C25C">
            <w:pPr>
              <w:suppressAutoHyphens/>
              <w:spacing w:line="440" w:lineRule="exact"/>
              <w:jc w:val="center"/>
              <w:rPr>
                <w:rFonts w:ascii="仿宋" w:hAnsi="仿宋" w:eastAsia="仿宋" w:cs="仿宋"/>
                <w:color w:val="auto"/>
                <w:sz w:val="30"/>
                <w:szCs w:val="30"/>
                <w:highlight w:val="none"/>
                <w:lang w:eastAsia="ar-SA"/>
              </w:rPr>
            </w:pPr>
            <w:r>
              <w:rPr>
                <w:rFonts w:hint="eastAsia" w:ascii="仿宋" w:hAnsi="仿宋" w:eastAsia="仿宋" w:cs="仿宋"/>
                <w:b/>
                <w:color w:val="auto"/>
                <w:sz w:val="30"/>
                <w:szCs w:val="30"/>
                <w:highlight w:val="none"/>
                <w:lang w:eastAsia="ar-SA"/>
              </w:rPr>
              <w:t>评分因素</w:t>
            </w:r>
          </w:p>
        </w:tc>
        <w:tc>
          <w:tcPr>
            <w:tcW w:w="464" w:type="pct"/>
            <w:tcBorders>
              <w:top w:val="single" w:color="auto" w:sz="4" w:space="0"/>
              <w:left w:val="single" w:color="auto" w:sz="4" w:space="0"/>
              <w:bottom w:val="single" w:color="auto" w:sz="4" w:space="0"/>
              <w:right w:val="single" w:color="auto" w:sz="4" w:space="0"/>
            </w:tcBorders>
            <w:vAlign w:val="center"/>
          </w:tcPr>
          <w:p w14:paraId="25238A9D">
            <w:pPr>
              <w:suppressAutoHyphens/>
              <w:spacing w:line="440" w:lineRule="exact"/>
              <w:jc w:val="center"/>
              <w:rPr>
                <w:rFonts w:ascii="仿宋" w:hAnsi="仿宋" w:eastAsia="仿宋" w:cs="仿宋"/>
                <w:b/>
                <w:color w:val="auto"/>
                <w:sz w:val="30"/>
                <w:szCs w:val="30"/>
                <w:highlight w:val="none"/>
                <w:lang w:eastAsia="ar-SA"/>
              </w:rPr>
            </w:pPr>
            <w:r>
              <w:rPr>
                <w:rFonts w:hint="eastAsia" w:ascii="仿宋" w:hAnsi="仿宋" w:eastAsia="仿宋" w:cs="仿宋"/>
                <w:b/>
                <w:color w:val="auto"/>
                <w:sz w:val="30"/>
                <w:szCs w:val="30"/>
                <w:highlight w:val="none"/>
              </w:rPr>
              <w:t>权重</w:t>
            </w:r>
            <w:r>
              <w:rPr>
                <w:rFonts w:hint="eastAsia" w:ascii="仿宋" w:hAnsi="仿宋" w:eastAsia="仿宋" w:cs="仿宋"/>
                <w:b/>
                <w:color w:val="auto"/>
                <w:sz w:val="30"/>
                <w:szCs w:val="30"/>
                <w:highlight w:val="none"/>
                <w:lang w:eastAsia="ar-SA"/>
              </w:rPr>
              <w:t>分</w:t>
            </w:r>
          </w:p>
        </w:tc>
        <w:tc>
          <w:tcPr>
            <w:tcW w:w="2533" w:type="pct"/>
            <w:tcBorders>
              <w:top w:val="single" w:color="auto" w:sz="4" w:space="0"/>
              <w:left w:val="single" w:color="auto" w:sz="4" w:space="0"/>
              <w:bottom w:val="single" w:color="auto" w:sz="4" w:space="0"/>
              <w:right w:val="single" w:color="auto" w:sz="4" w:space="0"/>
            </w:tcBorders>
            <w:vAlign w:val="center"/>
          </w:tcPr>
          <w:p w14:paraId="10247BD7">
            <w:pPr>
              <w:suppressAutoHyphens/>
              <w:spacing w:line="440" w:lineRule="exact"/>
              <w:ind w:firstLine="0" w:firstLineChars="0"/>
              <w:jc w:val="center"/>
              <w:rPr>
                <w:rFonts w:ascii="仿宋" w:hAnsi="仿宋" w:eastAsia="仿宋" w:cs="仿宋"/>
                <w:color w:val="auto"/>
                <w:sz w:val="30"/>
                <w:szCs w:val="30"/>
                <w:highlight w:val="none"/>
                <w:lang w:eastAsia="ar-SA"/>
              </w:rPr>
            </w:pPr>
            <w:r>
              <w:rPr>
                <w:rFonts w:hint="eastAsia" w:ascii="仿宋" w:hAnsi="仿宋" w:eastAsia="仿宋" w:cs="仿宋"/>
                <w:b/>
                <w:color w:val="auto"/>
                <w:sz w:val="30"/>
                <w:szCs w:val="30"/>
                <w:highlight w:val="none"/>
                <w:lang w:eastAsia="ar-SA"/>
              </w:rPr>
              <w:t>评分标准</w:t>
            </w:r>
          </w:p>
        </w:tc>
      </w:tr>
      <w:tr w14:paraId="1E2231B4">
        <w:tblPrEx>
          <w:tblCellMar>
            <w:top w:w="48" w:type="dxa"/>
            <w:left w:w="108" w:type="dxa"/>
            <w:bottom w:w="48" w:type="dxa"/>
            <w:right w:w="108" w:type="dxa"/>
          </w:tblCellMar>
        </w:tblPrEx>
        <w:trPr>
          <w:trHeight w:val="784" w:hRule="atLeast"/>
          <w:jc w:val="center"/>
        </w:trPr>
        <w:tc>
          <w:tcPr>
            <w:tcW w:w="666" w:type="pct"/>
            <w:vMerge w:val="restart"/>
            <w:tcBorders>
              <w:top w:val="single" w:color="auto" w:sz="4" w:space="0"/>
              <w:left w:val="single" w:color="auto" w:sz="4" w:space="0"/>
              <w:right w:val="single" w:color="auto" w:sz="4" w:space="0"/>
            </w:tcBorders>
            <w:vAlign w:val="center"/>
          </w:tcPr>
          <w:p w14:paraId="36482B31">
            <w:pPr>
              <w:widowControl/>
              <w:spacing w:line="440" w:lineRule="exact"/>
              <w:ind w:firstLine="0" w:firstLineChars="0"/>
              <w:rPr>
                <w:rFonts w:ascii="仿宋" w:hAnsi="仿宋" w:eastAsia="仿宋" w:cs="仿宋"/>
                <w:color w:val="auto"/>
                <w:sz w:val="30"/>
                <w:szCs w:val="30"/>
                <w:highlight w:val="none"/>
              </w:rPr>
            </w:pPr>
            <w:r>
              <w:rPr>
                <w:rFonts w:ascii="仿宋" w:hAnsi="仿宋" w:eastAsia="仿宋" w:cs="仿宋"/>
                <w:color w:val="auto"/>
                <w:sz w:val="30"/>
                <w:szCs w:val="30"/>
                <w:highlight w:val="none"/>
              </w:rPr>
              <w:t>A</w:t>
            </w:r>
          </w:p>
        </w:tc>
        <w:tc>
          <w:tcPr>
            <w:tcW w:w="669" w:type="pct"/>
            <w:vMerge w:val="restart"/>
            <w:tcBorders>
              <w:top w:val="single" w:color="auto" w:sz="4" w:space="0"/>
              <w:left w:val="single" w:color="auto" w:sz="4" w:space="0"/>
              <w:right w:val="single" w:color="auto" w:sz="4" w:space="0"/>
            </w:tcBorders>
            <w:vAlign w:val="center"/>
          </w:tcPr>
          <w:p w14:paraId="6128B1C3">
            <w:pPr>
              <w:suppressAutoHyphens/>
              <w:spacing w:line="440" w:lineRule="exac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ar-SA"/>
              </w:rPr>
              <w:t>商务</w:t>
            </w:r>
            <w:r>
              <w:rPr>
                <w:rFonts w:hint="eastAsia" w:ascii="仿宋" w:hAnsi="仿宋" w:eastAsia="仿宋" w:cs="仿宋"/>
                <w:color w:val="auto"/>
                <w:sz w:val="30"/>
                <w:szCs w:val="30"/>
                <w:highlight w:val="none"/>
              </w:rPr>
              <w:t>部</w:t>
            </w:r>
            <w:r>
              <w:rPr>
                <w:rFonts w:hint="eastAsia" w:ascii="仿宋" w:hAnsi="仿宋" w:eastAsia="仿宋" w:cs="仿宋"/>
                <w:color w:val="auto"/>
                <w:sz w:val="30"/>
                <w:szCs w:val="30"/>
                <w:highlight w:val="none"/>
                <w:lang w:eastAsia="ar-SA"/>
              </w:rPr>
              <w:t>分</w:t>
            </w:r>
          </w:p>
          <w:p w14:paraId="29922F1D">
            <w:pPr>
              <w:widowControl/>
              <w:spacing w:line="440" w:lineRule="exac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（满分30分）</w:t>
            </w:r>
          </w:p>
        </w:tc>
        <w:tc>
          <w:tcPr>
            <w:tcW w:w="666" w:type="pct"/>
            <w:tcBorders>
              <w:top w:val="single" w:color="auto" w:sz="4" w:space="0"/>
              <w:left w:val="single" w:color="auto" w:sz="4" w:space="0"/>
              <w:bottom w:val="single" w:color="auto" w:sz="4" w:space="0"/>
              <w:right w:val="single" w:color="auto" w:sz="4" w:space="0"/>
            </w:tcBorders>
            <w:vAlign w:val="center"/>
          </w:tcPr>
          <w:p w14:paraId="356F049D">
            <w:pPr>
              <w:suppressAutoHyphens/>
              <w:spacing w:line="440" w:lineRule="exac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综合实力</w:t>
            </w:r>
          </w:p>
          <w:p w14:paraId="0B417A45">
            <w:pPr>
              <w:suppressAutoHyphens/>
              <w:spacing w:line="440" w:lineRule="exact"/>
              <w:rPr>
                <w:rFonts w:ascii="仿宋" w:hAnsi="仿宋" w:eastAsia="仿宋" w:cs="仿宋"/>
                <w:color w:val="auto"/>
                <w:sz w:val="30"/>
                <w:szCs w:val="30"/>
                <w:highlight w:val="none"/>
              </w:rPr>
            </w:pPr>
          </w:p>
        </w:tc>
        <w:tc>
          <w:tcPr>
            <w:tcW w:w="464" w:type="pct"/>
            <w:tcBorders>
              <w:top w:val="single" w:color="auto" w:sz="4" w:space="0"/>
              <w:left w:val="single" w:color="auto" w:sz="4" w:space="0"/>
              <w:bottom w:val="single" w:color="auto" w:sz="4" w:space="0"/>
              <w:right w:val="single" w:color="auto" w:sz="4" w:space="0"/>
            </w:tcBorders>
            <w:vAlign w:val="center"/>
          </w:tcPr>
          <w:p w14:paraId="7A8ADAA3">
            <w:pPr>
              <w:suppressAutoHyphens/>
              <w:spacing w:line="440" w:lineRule="exac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12分</w:t>
            </w:r>
          </w:p>
        </w:tc>
        <w:tc>
          <w:tcPr>
            <w:tcW w:w="2533" w:type="pct"/>
            <w:tcBorders>
              <w:top w:val="single" w:color="auto" w:sz="4" w:space="0"/>
              <w:left w:val="single" w:color="auto" w:sz="4" w:space="0"/>
              <w:bottom w:val="single" w:color="auto" w:sz="4" w:space="0"/>
              <w:right w:val="single" w:color="auto" w:sz="4" w:space="0"/>
            </w:tcBorders>
            <w:vAlign w:val="center"/>
          </w:tcPr>
          <w:p w14:paraId="7DFF57D3">
            <w:pPr>
              <w:suppressAutoHyphens/>
              <w:spacing w:line="440" w:lineRule="exact"/>
              <w:ind w:firstLine="0" w:firstLineChars="0"/>
              <w:rPr>
                <w:rFonts w:ascii="仿宋" w:hAnsi="仿宋" w:eastAsia="仿宋" w:cs="仿宋"/>
                <w:color w:val="auto"/>
                <w:sz w:val="30"/>
                <w:szCs w:val="30"/>
                <w:highlight w:val="none"/>
                <w:lang w:eastAsia="ar-SA"/>
              </w:rPr>
            </w:pPr>
            <w:r>
              <w:rPr>
                <w:rFonts w:hint="eastAsia" w:ascii="仿宋" w:hAnsi="仿宋" w:eastAsia="仿宋" w:cs="仿宋"/>
                <w:color w:val="auto"/>
                <w:sz w:val="30"/>
                <w:szCs w:val="30"/>
                <w:highlight w:val="none"/>
                <w:lang w:eastAsia="ar-SA"/>
              </w:rPr>
              <w:t>1、企业具有有效期内的质量管理体系认证证书、职业健康安全质量管理体系认证证书、环境管理体系认证证书，每提供一个证书得1分，满分3分；</w:t>
            </w:r>
          </w:p>
          <w:p w14:paraId="358EE17D">
            <w:pPr>
              <w:suppressAutoHyphens/>
              <w:spacing w:line="440" w:lineRule="exact"/>
              <w:ind w:firstLine="0" w:firstLineChars="0"/>
              <w:rPr>
                <w:rFonts w:ascii="仿宋" w:hAnsi="仿宋" w:eastAsia="仿宋" w:cs="仿宋"/>
                <w:color w:val="auto"/>
                <w:sz w:val="30"/>
                <w:szCs w:val="30"/>
                <w:highlight w:val="none"/>
                <w:lang w:eastAsia="ar-SA"/>
              </w:rPr>
            </w:pPr>
            <w:r>
              <w:rPr>
                <w:rFonts w:hint="eastAsia" w:ascii="仿宋" w:hAnsi="仿宋" w:eastAsia="仿宋" w:cs="仿宋"/>
                <w:color w:val="auto"/>
                <w:sz w:val="30"/>
                <w:szCs w:val="30"/>
                <w:highlight w:val="none"/>
                <w:lang w:eastAsia="ar-SA"/>
              </w:rPr>
              <w:t>2、企业具有省级或省级以上部门批准的高新技术企业证书的计3分；</w:t>
            </w:r>
          </w:p>
          <w:p w14:paraId="6610D4ED">
            <w:pPr>
              <w:suppressAutoHyphens/>
              <w:spacing w:line="440" w:lineRule="exact"/>
              <w:ind w:firstLine="0" w:firstLineChars="0"/>
              <w:rPr>
                <w:rFonts w:ascii="仿宋" w:hAnsi="仿宋" w:eastAsia="仿宋" w:cs="仿宋"/>
                <w:color w:val="auto"/>
                <w:sz w:val="30"/>
                <w:szCs w:val="30"/>
                <w:highlight w:val="none"/>
                <w:lang w:eastAsia="ar-SA"/>
              </w:rPr>
            </w:pPr>
            <w:r>
              <w:rPr>
                <w:rFonts w:hint="eastAsia" w:ascii="仿宋" w:hAnsi="仿宋" w:eastAsia="仿宋" w:cs="仿宋"/>
                <w:color w:val="auto"/>
                <w:sz w:val="30"/>
                <w:szCs w:val="30"/>
                <w:highlight w:val="none"/>
                <w:lang w:eastAsia="ar-SA"/>
              </w:rPr>
              <w:t>3、企业获得省级及以上工程造价行业诚信单位、中国建设工程造价管理协会百强排名、省级及以上主管部门排名前10名，每提供一个业绩得1分，满分3分 ；</w:t>
            </w:r>
          </w:p>
          <w:p w14:paraId="1FF79BDE">
            <w:pPr>
              <w:suppressAutoHyphens/>
              <w:spacing w:line="440" w:lineRule="exact"/>
              <w:ind w:firstLine="0" w:firstLineChars="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ar-SA"/>
              </w:rPr>
              <w:t>4、企业获得中国建设工程造价管理协会评定的AAA企业信用等级证书，计1分</w:t>
            </w:r>
            <w:r>
              <w:rPr>
                <w:rFonts w:hint="eastAsia" w:ascii="仿宋" w:hAnsi="仿宋" w:eastAsia="仿宋" w:cs="仿宋"/>
                <w:color w:val="auto"/>
                <w:sz w:val="30"/>
                <w:szCs w:val="30"/>
                <w:highlight w:val="none"/>
              </w:rPr>
              <w:t>。</w:t>
            </w:r>
          </w:p>
          <w:p w14:paraId="5BFF0628">
            <w:pPr>
              <w:suppressAutoHyphens/>
              <w:spacing w:line="440" w:lineRule="exact"/>
              <w:ind w:firstLine="0" w:firstLineChars="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5、项目所在省资质企业得1分，企业排名靠前者得1分，满分2分。</w:t>
            </w:r>
          </w:p>
        </w:tc>
      </w:tr>
      <w:tr w14:paraId="08086075">
        <w:tblPrEx>
          <w:tblCellMar>
            <w:top w:w="48" w:type="dxa"/>
            <w:left w:w="108" w:type="dxa"/>
            <w:bottom w:w="48" w:type="dxa"/>
            <w:right w:w="108" w:type="dxa"/>
          </w:tblCellMar>
        </w:tblPrEx>
        <w:trPr>
          <w:trHeight w:val="784" w:hRule="atLeast"/>
          <w:jc w:val="center"/>
        </w:trPr>
        <w:tc>
          <w:tcPr>
            <w:tcW w:w="666" w:type="pct"/>
            <w:vMerge w:val="continue"/>
            <w:tcBorders>
              <w:left w:val="single" w:color="auto" w:sz="4" w:space="0"/>
              <w:right w:val="single" w:color="auto" w:sz="4" w:space="0"/>
            </w:tcBorders>
            <w:vAlign w:val="center"/>
          </w:tcPr>
          <w:p w14:paraId="03D46C6D">
            <w:pPr>
              <w:spacing w:line="440" w:lineRule="exact"/>
              <w:rPr>
                <w:rFonts w:ascii="仿宋" w:hAnsi="仿宋" w:eastAsia="仿宋" w:cs="仿宋"/>
                <w:color w:val="auto"/>
                <w:sz w:val="30"/>
                <w:szCs w:val="30"/>
                <w:highlight w:val="none"/>
              </w:rPr>
            </w:pPr>
          </w:p>
        </w:tc>
        <w:tc>
          <w:tcPr>
            <w:tcW w:w="669" w:type="pct"/>
            <w:vMerge w:val="continue"/>
            <w:tcBorders>
              <w:left w:val="single" w:color="auto" w:sz="4" w:space="0"/>
              <w:right w:val="single" w:color="auto" w:sz="4" w:space="0"/>
            </w:tcBorders>
            <w:vAlign w:val="center"/>
          </w:tcPr>
          <w:p w14:paraId="30119655">
            <w:pPr>
              <w:spacing w:line="440" w:lineRule="exact"/>
              <w:rPr>
                <w:rFonts w:ascii="仿宋" w:hAnsi="仿宋" w:eastAsia="仿宋" w:cs="仿宋"/>
                <w:color w:val="auto"/>
                <w:sz w:val="30"/>
                <w:szCs w:val="30"/>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0FFD21A5">
            <w:pPr>
              <w:spacing w:line="440" w:lineRule="exac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项目</w:t>
            </w:r>
            <w:r>
              <w:rPr>
                <w:rFonts w:hint="eastAsia" w:ascii="仿宋" w:hAnsi="仿宋" w:eastAsia="仿宋" w:cs="仿宋"/>
                <w:color w:val="auto"/>
                <w:sz w:val="30"/>
                <w:szCs w:val="30"/>
                <w:highlight w:val="none"/>
                <w:lang w:eastAsia="ar-SA"/>
              </w:rPr>
              <w:t>业绩</w:t>
            </w:r>
          </w:p>
        </w:tc>
        <w:tc>
          <w:tcPr>
            <w:tcW w:w="464" w:type="pct"/>
            <w:tcBorders>
              <w:top w:val="single" w:color="auto" w:sz="4" w:space="0"/>
              <w:left w:val="single" w:color="auto" w:sz="4" w:space="0"/>
              <w:bottom w:val="single" w:color="auto" w:sz="4" w:space="0"/>
              <w:right w:val="single" w:color="auto" w:sz="4" w:space="0"/>
            </w:tcBorders>
            <w:vAlign w:val="center"/>
          </w:tcPr>
          <w:p w14:paraId="6E8044B6">
            <w:pPr>
              <w:spacing w:line="440" w:lineRule="exac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7分</w:t>
            </w:r>
          </w:p>
        </w:tc>
        <w:tc>
          <w:tcPr>
            <w:tcW w:w="2533" w:type="pct"/>
            <w:tcBorders>
              <w:top w:val="single" w:color="auto" w:sz="4" w:space="0"/>
              <w:left w:val="single" w:color="auto" w:sz="4" w:space="0"/>
              <w:bottom w:val="single" w:color="auto" w:sz="4" w:space="0"/>
              <w:right w:val="single" w:color="auto" w:sz="4" w:space="0"/>
            </w:tcBorders>
            <w:vAlign w:val="center"/>
          </w:tcPr>
          <w:p w14:paraId="5F21CD49">
            <w:pPr>
              <w:numPr>
                <w:ilvl w:val="0"/>
                <w:numId w:val="2"/>
              </w:numPr>
              <w:spacing w:line="440" w:lineRule="exac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近5年完成的类似铝、铜、铅、锌等冶炼项目、化工项目、钢构厂房建设项目等的同类工程造价项目业绩，每项计1分，最高计5分。</w:t>
            </w:r>
          </w:p>
          <w:p w14:paraId="3A36FB42">
            <w:pPr>
              <w:numPr>
                <w:ilvl w:val="0"/>
                <w:numId w:val="2"/>
              </w:numPr>
              <w:spacing w:line="440" w:lineRule="exact"/>
              <w:rPr>
                <w:rFonts w:ascii="仿宋" w:hAnsi="仿宋" w:eastAsia="仿宋" w:cs="仿宋"/>
                <w:color w:val="auto"/>
                <w:sz w:val="30"/>
                <w:szCs w:val="30"/>
                <w:highlight w:val="none"/>
                <w:lang w:eastAsia="ar-SA"/>
              </w:rPr>
            </w:pPr>
            <w:r>
              <w:rPr>
                <w:rFonts w:hint="eastAsia" w:ascii="仿宋" w:hAnsi="仿宋" w:eastAsia="仿宋" w:cs="仿宋"/>
                <w:color w:val="auto"/>
                <w:sz w:val="30"/>
                <w:szCs w:val="30"/>
                <w:highlight w:val="none"/>
              </w:rPr>
              <w:t>提供项目总投资金额高者得2分。</w:t>
            </w:r>
          </w:p>
        </w:tc>
      </w:tr>
      <w:tr w14:paraId="0AEFB2E1">
        <w:tblPrEx>
          <w:tblCellMar>
            <w:top w:w="48" w:type="dxa"/>
            <w:left w:w="108" w:type="dxa"/>
            <w:bottom w:w="48" w:type="dxa"/>
            <w:right w:w="108" w:type="dxa"/>
          </w:tblCellMar>
        </w:tblPrEx>
        <w:trPr>
          <w:trHeight w:val="784" w:hRule="atLeast"/>
          <w:jc w:val="center"/>
        </w:trPr>
        <w:tc>
          <w:tcPr>
            <w:tcW w:w="666" w:type="pct"/>
            <w:vMerge w:val="continue"/>
            <w:tcBorders>
              <w:left w:val="single" w:color="auto" w:sz="4" w:space="0"/>
              <w:right w:val="single" w:color="auto" w:sz="4" w:space="0"/>
            </w:tcBorders>
            <w:vAlign w:val="center"/>
          </w:tcPr>
          <w:p w14:paraId="0B8EB6B7">
            <w:pPr>
              <w:spacing w:line="440" w:lineRule="exact"/>
              <w:rPr>
                <w:rFonts w:ascii="仿宋" w:hAnsi="仿宋" w:eastAsia="仿宋" w:cs="仿宋"/>
                <w:color w:val="auto"/>
                <w:sz w:val="30"/>
                <w:szCs w:val="30"/>
                <w:highlight w:val="none"/>
              </w:rPr>
            </w:pPr>
          </w:p>
        </w:tc>
        <w:tc>
          <w:tcPr>
            <w:tcW w:w="669" w:type="pct"/>
            <w:vMerge w:val="continue"/>
            <w:tcBorders>
              <w:left w:val="single" w:color="auto" w:sz="4" w:space="0"/>
              <w:right w:val="single" w:color="auto" w:sz="4" w:space="0"/>
            </w:tcBorders>
            <w:vAlign w:val="center"/>
          </w:tcPr>
          <w:p w14:paraId="105838B6">
            <w:pPr>
              <w:spacing w:line="440" w:lineRule="exact"/>
              <w:rPr>
                <w:rFonts w:ascii="仿宋" w:hAnsi="仿宋" w:eastAsia="仿宋" w:cs="仿宋"/>
                <w:color w:val="auto"/>
                <w:sz w:val="30"/>
                <w:szCs w:val="30"/>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4C64AB1E">
            <w:pPr>
              <w:spacing w:line="440" w:lineRule="exac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项目负责人</w:t>
            </w:r>
          </w:p>
          <w:p w14:paraId="18B538F2">
            <w:pPr>
              <w:spacing w:line="440" w:lineRule="exac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条件</w:t>
            </w:r>
          </w:p>
          <w:p w14:paraId="731939A1">
            <w:pPr>
              <w:spacing w:line="440" w:lineRule="exact"/>
              <w:rPr>
                <w:rFonts w:ascii="仿宋" w:hAnsi="仿宋" w:eastAsia="仿宋" w:cs="仿宋"/>
                <w:color w:val="auto"/>
                <w:sz w:val="30"/>
                <w:szCs w:val="30"/>
                <w:highlight w:val="none"/>
              </w:rPr>
            </w:pPr>
          </w:p>
        </w:tc>
        <w:tc>
          <w:tcPr>
            <w:tcW w:w="464" w:type="pct"/>
            <w:tcBorders>
              <w:top w:val="single" w:color="auto" w:sz="4" w:space="0"/>
              <w:left w:val="single" w:color="auto" w:sz="4" w:space="0"/>
              <w:bottom w:val="single" w:color="auto" w:sz="4" w:space="0"/>
              <w:right w:val="single" w:color="auto" w:sz="4" w:space="0"/>
            </w:tcBorders>
            <w:vAlign w:val="center"/>
          </w:tcPr>
          <w:p w14:paraId="5E3DA1EA">
            <w:pPr>
              <w:suppressAutoHyphens/>
              <w:spacing w:line="440" w:lineRule="exac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4分</w:t>
            </w:r>
          </w:p>
        </w:tc>
        <w:tc>
          <w:tcPr>
            <w:tcW w:w="2533" w:type="pct"/>
            <w:tcBorders>
              <w:top w:val="single" w:color="auto" w:sz="4" w:space="0"/>
              <w:left w:val="single" w:color="auto" w:sz="4" w:space="0"/>
              <w:bottom w:val="single" w:color="auto" w:sz="4" w:space="0"/>
              <w:right w:val="single" w:color="auto" w:sz="4" w:space="0"/>
            </w:tcBorders>
            <w:vAlign w:val="center"/>
          </w:tcPr>
          <w:p w14:paraId="10B045A3">
            <w:pPr>
              <w:spacing w:line="440" w:lineRule="exac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1.拟投入的项目技术负责人具有具备一级注册造价工程师证书土建专业、高级工程师(或以上职称)，共计2分；</w:t>
            </w:r>
          </w:p>
          <w:p w14:paraId="42CF0F4E">
            <w:pPr>
              <w:spacing w:line="440" w:lineRule="exact"/>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2.负责人同时具备一级建造师证书每提供一个证书、咨询工程师每提供一个证书得1分，满分2分。</w:t>
            </w:r>
          </w:p>
        </w:tc>
      </w:tr>
      <w:tr w14:paraId="08F196B5">
        <w:tblPrEx>
          <w:tblCellMar>
            <w:top w:w="48" w:type="dxa"/>
            <w:left w:w="108" w:type="dxa"/>
            <w:bottom w:w="48" w:type="dxa"/>
            <w:right w:w="108" w:type="dxa"/>
          </w:tblCellMar>
        </w:tblPrEx>
        <w:trPr>
          <w:trHeight w:val="784" w:hRule="atLeast"/>
          <w:jc w:val="center"/>
        </w:trPr>
        <w:tc>
          <w:tcPr>
            <w:tcW w:w="666" w:type="pct"/>
            <w:vMerge w:val="continue"/>
            <w:tcBorders>
              <w:left w:val="single" w:color="auto" w:sz="4" w:space="0"/>
              <w:bottom w:val="single" w:color="auto" w:sz="4" w:space="0"/>
              <w:right w:val="single" w:color="auto" w:sz="4" w:space="0"/>
            </w:tcBorders>
            <w:vAlign w:val="center"/>
          </w:tcPr>
          <w:p w14:paraId="44301FD4">
            <w:pPr>
              <w:widowControl/>
              <w:spacing w:line="440" w:lineRule="exact"/>
              <w:ind w:firstLine="0" w:firstLineChars="0"/>
              <w:rPr>
                <w:rFonts w:ascii="仿宋" w:hAnsi="仿宋" w:eastAsia="仿宋" w:cs="仿宋"/>
                <w:sz w:val="30"/>
                <w:szCs w:val="30"/>
              </w:rPr>
            </w:pPr>
          </w:p>
        </w:tc>
        <w:tc>
          <w:tcPr>
            <w:tcW w:w="669" w:type="pct"/>
            <w:vMerge w:val="continue"/>
            <w:tcBorders>
              <w:left w:val="single" w:color="auto" w:sz="4" w:space="0"/>
              <w:bottom w:val="single" w:color="auto" w:sz="4" w:space="0"/>
              <w:right w:val="single" w:color="auto" w:sz="4" w:space="0"/>
            </w:tcBorders>
            <w:vAlign w:val="center"/>
          </w:tcPr>
          <w:p w14:paraId="384A3851">
            <w:pPr>
              <w:widowControl/>
              <w:spacing w:line="440" w:lineRule="exact"/>
              <w:ind w:firstLine="0" w:firstLineChars="0"/>
              <w:rPr>
                <w:rFonts w:ascii="仿宋" w:hAnsi="仿宋" w:eastAsia="仿宋" w:cs="仿宋"/>
                <w:sz w:val="30"/>
                <w:szCs w:val="30"/>
              </w:rPr>
            </w:pPr>
          </w:p>
        </w:tc>
        <w:tc>
          <w:tcPr>
            <w:tcW w:w="666" w:type="pct"/>
            <w:tcBorders>
              <w:top w:val="single" w:color="auto" w:sz="4" w:space="0"/>
              <w:left w:val="single" w:color="auto" w:sz="4" w:space="0"/>
              <w:bottom w:val="single" w:color="auto" w:sz="4" w:space="0"/>
              <w:right w:val="single" w:color="auto" w:sz="4" w:space="0"/>
            </w:tcBorders>
            <w:vAlign w:val="center"/>
          </w:tcPr>
          <w:p w14:paraId="60063246">
            <w:pPr>
              <w:suppressAutoHyphens/>
              <w:spacing w:line="440" w:lineRule="exact"/>
              <w:rPr>
                <w:rFonts w:ascii="仿宋" w:hAnsi="仿宋" w:eastAsia="仿宋" w:cs="仿宋"/>
                <w:sz w:val="30"/>
                <w:szCs w:val="30"/>
              </w:rPr>
            </w:pPr>
            <w:r>
              <w:rPr>
                <w:rFonts w:hint="eastAsia" w:ascii="仿宋" w:hAnsi="仿宋" w:eastAsia="仿宋" w:cs="仿宋"/>
                <w:sz w:val="30"/>
                <w:szCs w:val="30"/>
              </w:rPr>
              <w:t>人员配备</w:t>
            </w:r>
          </w:p>
        </w:tc>
        <w:tc>
          <w:tcPr>
            <w:tcW w:w="464" w:type="pct"/>
            <w:tcBorders>
              <w:top w:val="single" w:color="auto" w:sz="4" w:space="0"/>
              <w:left w:val="single" w:color="auto" w:sz="4" w:space="0"/>
              <w:bottom w:val="single" w:color="auto" w:sz="4" w:space="0"/>
              <w:right w:val="single" w:color="auto" w:sz="4" w:space="0"/>
            </w:tcBorders>
            <w:vAlign w:val="center"/>
          </w:tcPr>
          <w:p w14:paraId="2A17168D">
            <w:pPr>
              <w:suppressAutoHyphens/>
              <w:spacing w:line="440" w:lineRule="exact"/>
              <w:rPr>
                <w:rFonts w:ascii="仿宋" w:hAnsi="仿宋" w:eastAsia="仿宋" w:cs="仿宋"/>
                <w:sz w:val="30"/>
                <w:szCs w:val="30"/>
              </w:rPr>
            </w:pPr>
            <w:r>
              <w:rPr>
                <w:rFonts w:hint="eastAsia" w:ascii="仿宋" w:hAnsi="仿宋" w:eastAsia="仿宋" w:cs="仿宋"/>
                <w:sz w:val="30"/>
                <w:szCs w:val="30"/>
              </w:rPr>
              <w:t>7分</w:t>
            </w:r>
          </w:p>
        </w:tc>
        <w:tc>
          <w:tcPr>
            <w:tcW w:w="2533" w:type="pct"/>
            <w:tcBorders>
              <w:top w:val="single" w:color="auto" w:sz="4" w:space="0"/>
              <w:left w:val="single" w:color="auto" w:sz="4" w:space="0"/>
              <w:bottom w:val="single" w:color="auto" w:sz="4" w:space="0"/>
              <w:right w:val="single" w:color="auto" w:sz="4" w:space="0"/>
            </w:tcBorders>
            <w:vAlign w:val="center"/>
          </w:tcPr>
          <w:p w14:paraId="2A3F4ED3">
            <w:pPr>
              <w:suppressAutoHyphens/>
              <w:spacing w:line="440" w:lineRule="exact"/>
              <w:ind w:firstLine="0" w:firstLineChars="0"/>
              <w:rPr>
                <w:rFonts w:ascii="仿宋" w:hAnsi="仿宋" w:eastAsia="仿宋" w:cs="仿宋"/>
                <w:sz w:val="30"/>
                <w:szCs w:val="30"/>
                <w:lang w:eastAsia="ar-SA"/>
              </w:rPr>
            </w:pPr>
            <w:r>
              <w:rPr>
                <w:rFonts w:hint="eastAsia" w:ascii="仿宋" w:hAnsi="仿宋" w:eastAsia="仿宋" w:cs="仿宋"/>
                <w:sz w:val="30"/>
                <w:szCs w:val="30"/>
                <w:lang w:eastAsia="ar-SA"/>
              </w:rPr>
              <w:t>1.为本项目配备具备一级注册造价工程师证书 （土建、安装、市政、水利各专业）资质证书人员数量不少于12人，满足得</w:t>
            </w:r>
            <w:r>
              <w:rPr>
                <w:rFonts w:hint="eastAsia" w:ascii="仿宋" w:hAnsi="仿宋" w:eastAsia="仿宋" w:cs="仿宋"/>
                <w:sz w:val="30"/>
                <w:szCs w:val="30"/>
              </w:rPr>
              <w:t>2</w:t>
            </w:r>
            <w:r>
              <w:rPr>
                <w:rFonts w:hint="eastAsia" w:ascii="仿宋" w:hAnsi="仿宋" w:eastAsia="仿宋" w:cs="仿宋"/>
                <w:sz w:val="30"/>
                <w:szCs w:val="30"/>
                <w:lang w:eastAsia="ar-SA"/>
              </w:rPr>
              <w:t>分，每多一人加</w:t>
            </w:r>
            <w:r>
              <w:rPr>
                <w:rFonts w:hint="eastAsia" w:ascii="仿宋" w:hAnsi="仿宋" w:eastAsia="仿宋" w:cs="仿宋"/>
                <w:sz w:val="30"/>
                <w:szCs w:val="30"/>
              </w:rPr>
              <w:t>0.5</w:t>
            </w:r>
            <w:r>
              <w:rPr>
                <w:rFonts w:hint="eastAsia" w:ascii="仿宋" w:hAnsi="仿宋" w:eastAsia="仿宋" w:cs="仿宋"/>
                <w:sz w:val="30"/>
                <w:szCs w:val="30"/>
                <w:lang w:eastAsia="ar-SA"/>
              </w:rPr>
              <w:t>分，加满</w:t>
            </w:r>
            <w:r>
              <w:rPr>
                <w:rFonts w:hint="eastAsia" w:ascii="仿宋" w:hAnsi="仿宋" w:eastAsia="仿宋" w:cs="仿宋"/>
                <w:sz w:val="30"/>
                <w:szCs w:val="30"/>
              </w:rPr>
              <w:t>3</w:t>
            </w:r>
            <w:r>
              <w:rPr>
                <w:rFonts w:hint="eastAsia" w:ascii="仿宋" w:hAnsi="仿宋" w:eastAsia="仿宋" w:cs="仿宋"/>
                <w:sz w:val="30"/>
                <w:szCs w:val="30"/>
                <w:lang w:eastAsia="ar-SA"/>
              </w:rPr>
              <w:t>分为止，不满足得0分。</w:t>
            </w:r>
          </w:p>
          <w:p w14:paraId="6AB360DD">
            <w:pPr>
              <w:suppressAutoHyphens/>
              <w:spacing w:line="440" w:lineRule="exact"/>
              <w:ind w:firstLine="0" w:firstLineChars="0"/>
              <w:rPr>
                <w:rFonts w:ascii="仿宋" w:hAnsi="仿宋" w:eastAsia="仿宋" w:cs="仿宋"/>
                <w:sz w:val="30"/>
                <w:szCs w:val="30"/>
                <w:lang w:eastAsia="ar-SA"/>
              </w:rPr>
            </w:pPr>
            <w:r>
              <w:rPr>
                <w:rFonts w:hint="eastAsia" w:ascii="仿宋" w:hAnsi="仿宋" w:eastAsia="仿宋" w:cs="仿宋"/>
                <w:sz w:val="30"/>
                <w:szCs w:val="30"/>
                <w:lang w:eastAsia="ar-SA"/>
              </w:rPr>
              <w:t>2.为本项目配备具有注册造价工程师且高级工程师(或以上职称)人员数量不少于2人，满足得</w:t>
            </w:r>
            <w:r>
              <w:rPr>
                <w:rFonts w:hint="eastAsia" w:ascii="仿宋" w:hAnsi="仿宋" w:eastAsia="仿宋" w:cs="仿宋"/>
                <w:sz w:val="30"/>
                <w:szCs w:val="30"/>
              </w:rPr>
              <w:t>1</w:t>
            </w:r>
            <w:r>
              <w:rPr>
                <w:rFonts w:hint="eastAsia" w:ascii="仿宋" w:hAnsi="仿宋" w:eastAsia="仿宋" w:cs="仿宋"/>
                <w:sz w:val="30"/>
                <w:szCs w:val="30"/>
                <w:lang w:eastAsia="ar-SA"/>
              </w:rPr>
              <w:t>分，每多一人加</w:t>
            </w:r>
            <w:r>
              <w:rPr>
                <w:rFonts w:hint="eastAsia" w:ascii="仿宋" w:hAnsi="仿宋" w:eastAsia="仿宋" w:cs="仿宋"/>
                <w:sz w:val="30"/>
                <w:szCs w:val="30"/>
              </w:rPr>
              <w:t>1</w:t>
            </w:r>
            <w:r>
              <w:rPr>
                <w:rFonts w:hint="eastAsia" w:ascii="仿宋" w:hAnsi="仿宋" w:eastAsia="仿宋" w:cs="仿宋"/>
                <w:sz w:val="30"/>
                <w:szCs w:val="30"/>
                <w:lang w:eastAsia="ar-SA"/>
              </w:rPr>
              <w:t>分，加满</w:t>
            </w:r>
            <w:r>
              <w:rPr>
                <w:rFonts w:hint="eastAsia" w:ascii="仿宋" w:hAnsi="仿宋" w:eastAsia="仿宋" w:cs="仿宋"/>
                <w:sz w:val="30"/>
                <w:szCs w:val="30"/>
              </w:rPr>
              <w:t>2</w:t>
            </w:r>
            <w:r>
              <w:rPr>
                <w:rFonts w:hint="eastAsia" w:ascii="仿宋" w:hAnsi="仿宋" w:eastAsia="仿宋" w:cs="仿宋"/>
                <w:sz w:val="30"/>
                <w:szCs w:val="30"/>
                <w:lang w:eastAsia="ar-SA"/>
              </w:rPr>
              <w:t>分为止，不满足得0分；</w:t>
            </w:r>
          </w:p>
          <w:p w14:paraId="7B23E46A">
            <w:pPr>
              <w:suppressAutoHyphens/>
              <w:spacing w:line="440" w:lineRule="exact"/>
              <w:ind w:firstLine="0" w:firstLineChars="0"/>
              <w:rPr>
                <w:rFonts w:ascii="仿宋" w:hAnsi="仿宋" w:eastAsia="仿宋" w:cs="仿宋"/>
                <w:sz w:val="30"/>
                <w:szCs w:val="30"/>
                <w:lang w:eastAsia="ar-SA"/>
              </w:rPr>
            </w:pPr>
            <w:r>
              <w:rPr>
                <w:rFonts w:hint="eastAsia" w:ascii="仿宋" w:hAnsi="仿宋" w:eastAsia="仿宋" w:cs="仿宋"/>
                <w:sz w:val="30"/>
                <w:szCs w:val="30"/>
                <w:lang w:eastAsia="ar-SA"/>
              </w:rPr>
              <w:t>3.根据现场配置管理人员(包括项目负责人、现场造价工程师)基本情况齐全、完整、合理程度，进行综合评定，按优良、平两个等级分别得2分、1分。</w:t>
            </w:r>
          </w:p>
        </w:tc>
      </w:tr>
      <w:tr w14:paraId="60A7EB6E">
        <w:tblPrEx>
          <w:tblCellMar>
            <w:top w:w="48" w:type="dxa"/>
            <w:left w:w="108" w:type="dxa"/>
            <w:bottom w:w="48" w:type="dxa"/>
            <w:right w:w="108" w:type="dxa"/>
          </w:tblCellMar>
        </w:tblPrEx>
        <w:trPr>
          <w:trHeight w:val="90" w:hRule="atLeast"/>
          <w:jc w:val="center"/>
        </w:trPr>
        <w:tc>
          <w:tcPr>
            <w:tcW w:w="666" w:type="pct"/>
            <w:vMerge w:val="restart"/>
            <w:tcBorders>
              <w:top w:val="single" w:color="auto" w:sz="4" w:space="0"/>
              <w:left w:val="single" w:color="auto" w:sz="4" w:space="0"/>
              <w:right w:val="single" w:color="auto" w:sz="4" w:space="0"/>
            </w:tcBorders>
            <w:vAlign w:val="center"/>
          </w:tcPr>
          <w:p w14:paraId="64496B1B">
            <w:pPr>
              <w:suppressAutoHyphens/>
              <w:spacing w:line="440" w:lineRule="exact"/>
              <w:ind w:firstLine="0" w:firstLineChars="0"/>
              <w:rPr>
                <w:rFonts w:ascii="仿宋" w:hAnsi="仿宋" w:eastAsia="仿宋" w:cs="仿宋"/>
                <w:sz w:val="30"/>
                <w:szCs w:val="30"/>
              </w:rPr>
            </w:pPr>
            <w:r>
              <w:rPr>
                <w:rFonts w:ascii="仿宋" w:hAnsi="仿宋" w:eastAsia="仿宋" w:cs="仿宋"/>
                <w:sz w:val="30"/>
                <w:szCs w:val="30"/>
              </w:rPr>
              <w:t>B</w:t>
            </w:r>
          </w:p>
        </w:tc>
        <w:tc>
          <w:tcPr>
            <w:tcW w:w="669" w:type="pct"/>
            <w:vMerge w:val="restart"/>
            <w:tcBorders>
              <w:top w:val="single" w:color="auto" w:sz="4" w:space="0"/>
              <w:left w:val="single" w:color="auto" w:sz="4" w:space="0"/>
              <w:right w:val="single" w:color="auto" w:sz="4" w:space="0"/>
            </w:tcBorders>
            <w:vAlign w:val="center"/>
          </w:tcPr>
          <w:p w14:paraId="7426BB43">
            <w:pPr>
              <w:suppressAutoHyphens/>
              <w:spacing w:line="440" w:lineRule="exact"/>
              <w:rPr>
                <w:rFonts w:ascii="仿宋" w:hAnsi="仿宋" w:eastAsia="仿宋" w:cs="仿宋"/>
                <w:sz w:val="30"/>
                <w:szCs w:val="30"/>
              </w:rPr>
            </w:pPr>
            <w:r>
              <w:rPr>
                <w:rFonts w:hint="eastAsia" w:ascii="仿宋" w:hAnsi="仿宋" w:eastAsia="仿宋" w:cs="仿宋"/>
                <w:sz w:val="30"/>
                <w:szCs w:val="30"/>
                <w:lang w:eastAsia="ar-SA"/>
              </w:rPr>
              <w:t>技术</w:t>
            </w:r>
            <w:r>
              <w:rPr>
                <w:rFonts w:hint="eastAsia" w:ascii="仿宋" w:hAnsi="仿宋" w:eastAsia="仿宋" w:cs="仿宋"/>
                <w:sz w:val="30"/>
                <w:szCs w:val="30"/>
              </w:rPr>
              <w:t>部</w:t>
            </w:r>
            <w:r>
              <w:rPr>
                <w:rFonts w:hint="eastAsia" w:ascii="仿宋" w:hAnsi="仿宋" w:eastAsia="仿宋" w:cs="仿宋"/>
                <w:sz w:val="30"/>
                <w:szCs w:val="30"/>
                <w:lang w:eastAsia="ar-SA"/>
              </w:rPr>
              <w:t>分</w:t>
            </w:r>
          </w:p>
          <w:p w14:paraId="65094C62">
            <w:pPr>
              <w:suppressAutoHyphens/>
              <w:spacing w:line="440" w:lineRule="exact"/>
              <w:rPr>
                <w:rFonts w:ascii="仿宋" w:hAnsi="仿宋" w:eastAsia="仿宋" w:cs="仿宋"/>
                <w:sz w:val="30"/>
                <w:szCs w:val="30"/>
              </w:rPr>
            </w:pPr>
            <w:r>
              <w:rPr>
                <w:rFonts w:hint="eastAsia" w:ascii="仿宋" w:hAnsi="仿宋" w:eastAsia="仿宋" w:cs="仿宋"/>
                <w:sz w:val="30"/>
                <w:szCs w:val="30"/>
              </w:rPr>
              <w:t>（满分</w:t>
            </w:r>
            <w:r>
              <w:rPr>
                <w:rFonts w:ascii="仿宋" w:hAnsi="仿宋" w:eastAsia="仿宋" w:cs="仿宋"/>
                <w:sz w:val="30"/>
                <w:szCs w:val="30"/>
              </w:rPr>
              <w:t>2</w:t>
            </w:r>
            <w:r>
              <w:rPr>
                <w:rFonts w:hint="eastAsia" w:ascii="仿宋" w:hAnsi="仿宋" w:eastAsia="仿宋" w:cs="仿宋"/>
                <w:sz w:val="30"/>
                <w:szCs w:val="30"/>
              </w:rPr>
              <w:t>0分）</w:t>
            </w:r>
          </w:p>
        </w:tc>
        <w:tc>
          <w:tcPr>
            <w:tcW w:w="666" w:type="pct"/>
            <w:tcBorders>
              <w:top w:val="single" w:color="auto" w:sz="4" w:space="0"/>
              <w:left w:val="single" w:color="auto" w:sz="4" w:space="0"/>
              <w:right w:val="single" w:color="auto" w:sz="4" w:space="0"/>
            </w:tcBorders>
            <w:vAlign w:val="center"/>
          </w:tcPr>
          <w:p w14:paraId="681184C0">
            <w:pPr>
              <w:suppressAutoHyphens/>
              <w:spacing w:line="440" w:lineRule="exact"/>
              <w:rPr>
                <w:rFonts w:ascii="仿宋" w:hAnsi="仿宋" w:eastAsia="仿宋" w:cs="仿宋"/>
                <w:sz w:val="30"/>
                <w:szCs w:val="30"/>
              </w:rPr>
            </w:pPr>
            <w:r>
              <w:rPr>
                <w:rFonts w:hint="eastAsia" w:ascii="仿宋" w:hAnsi="仿宋" w:eastAsia="仿宋" w:cs="仿宋"/>
                <w:sz w:val="30"/>
                <w:szCs w:val="30"/>
              </w:rPr>
              <w:t>服务范围和服务内容</w:t>
            </w:r>
          </w:p>
          <w:p w14:paraId="27F322D2">
            <w:pPr>
              <w:suppressAutoHyphens/>
              <w:spacing w:line="440" w:lineRule="exact"/>
              <w:rPr>
                <w:rFonts w:ascii="仿宋" w:hAnsi="仿宋" w:eastAsia="仿宋" w:cs="仿宋"/>
                <w:sz w:val="30"/>
                <w:szCs w:val="30"/>
                <w:lang w:val="zh-CN"/>
              </w:rPr>
            </w:pPr>
          </w:p>
        </w:tc>
        <w:tc>
          <w:tcPr>
            <w:tcW w:w="464" w:type="pct"/>
            <w:tcBorders>
              <w:top w:val="single" w:color="auto" w:sz="4" w:space="0"/>
              <w:left w:val="single" w:color="auto" w:sz="4" w:space="0"/>
              <w:right w:val="single" w:color="auto" w:sz="4" w:space="0"/>
            </w:tcBorders>
            <w:vAlign w:val="center"/>
          </w:tcPr>
          <w:p w14:paraId="6A7212BB">
            <w:pPr>
              <w:suppressAutoHyphens/>
              <w:spacing w:line="440" w:lineRule="exact"/>
              <w:rPr>
                <w:rFonts w:ascii="仿宋" w:hAnsi="仿宋" w:eastAsia="仿宋" w:cs="仿宋"/>
                <w:sz w:val="30"/>
                <w:szCs w:val="30"/>
              </w:rPr>
            </w:pPr>
            <w:r>
              <w:rPr>
                <w:rFonts w:hint="eastAsia" w:ascii="仿宋" w:hAnsi="仿宋" w:eastAsia="仿宋" w:cs="仿宋"/>
                <w:sz w:val="30"/>
                <w:szCs w:val="30"/>
              </w:rPr>
              <w:t>3分</w:t>
            </w:r>
          </w:p>
        </w:tc>
        <w:tc>
          <w:tcPr>
            <w:tcW w:w="2533" w:type="pct"/>
            <w:tcBorders>
              <w:top w:val="single" w:color="auto" w:sz="4" w:space="0"/>
              <w:left w:val="single" w:color="auto" w:sz="4" w:space="0"/>
              <w:bottom w:val="single" w:color="auto" w:sz="4" w:space="0"/>
              <w:right w:val="single" w:color="auto" w:sz="4" w:space="0"/>
            </w:tcBorders>
            <w:vAlign w:val="center"/>
          </w:tcPr>
          <w:p w14:paraId="3D92D4B0">
            <w:pPr>
              <w:spacing w:line="440" w:lineRule="exact"/>
              <w:ind w:firstLine="0" w:firstLineChars="0"/>
              <w:rPr>
                <w:rFonts w:ascii="仿宋" w:hAnsi="仿宋" w:eastAsia="仿宋" w:cs="仿宋"/>
                <w:color w:val="auto"/>
                <w:sz w:val="30"/>
                <w:szCs w:val="30"/>
                <w:lang w:eastAsia="ar-SA"/>
              </w:rPr>
            </w:pPr>
            <w:r>
              <w:rPr>
                <w:rFonts w:hint="eastAsia" w:ascii="仿宋" w:hAnsi="仿宋" w:eastAsia="仿宋" w:cs="仿宋"/>
                <w:sz w:val="30"/>
                <w:szCs w:val="30"/>
              </w:rPr>
              <w:t>服务范围和设计内容齐全并对询价文件做出实质性响应优秀得3分，良得(1-3)有缺漏项酌情扣分。</w:t>
            </w:r>
          </w:p>
        </w:tc>
      </w:tr>
      <w:tr w14:paraId="268A6D5F">
        <w:tblPrEx>
          <w:tblCellMar>
            <w:top w:w="48" w:type="dxa"/>
            <w:left w:w="108" w:type="dxa"/>
            <w:bottom w:w="48" w:type="dxa"/>
            <w:right w:w="108" w:type="dxa"/>
          </w:tblCellMar>
        </w:tblPrEx>
        <w:trPr>
          <w:trHeight w:val="90" w:hRule="atLeast"/>
          <w:jc w:val="center"/>
        </w:trPr>
        <w:tc>
          <w:tcPr>
            <w:tcW w:w="666" w:type="pct"/>
            <w:vMerge w:val="continue"/>
            <w:tcBorders>
              <w:left w:val="single" w:color="auto" w:sz="4" w:space="0"/>
              <w:right w:val="single" w:color="auto" w:sz="4" w:space="0"/>
            </w:tcBorders>
            <w:vAlign w:val="center"/>
          </w:tcPr>
          <w:p w14:paraId="28393DAB">
            <w:pPr>
              <w:spacing w:line="440" w:lineRule="exact"/>
              <w:rPr>
                <w:rFonts w:ascii="仿宋" w:hAnsi="仿宋" w:eastAsia="仿宋" w:cs="仿宋"/>
                <w:sz w:val="30"/>
                <w:szCs w:val="30"/>
              </w:rPr>
            </w:pPr>
          </w:p>
        </w:tc>
        <w:tc>
          <w:tcPr>
            <w:tcW w:w="669" w:type="pct"/>
            <w:vMerge w:val="continue"/>
            <w:tcBorders>
              <w:left w:val="single" w:color="auto" w:sz="4" w:space="0"/>
              <w:right w:val="single" w:color="auto" w:sz="4" w:space="0"/>
            </w:tcBorders>
            <w:vAlign w:val="center"/>
          </w:tcPr>
          <w:p w14:paraId="6EEF959D">
            <w:pPr>
              <w:spacing w:line="440" w:lineRule="exact"/>
              <w:rPr>
                <w:rFonts w:ascii="仿宋" w:hAnsi="仿宋" w:eastAsia="仿宋" w:cs="仿宋"/>
                <w:sz w:val="30"/>
                <w:szCs w:val="30"/>
              </w:rPr>
            </w:pPr>
          </w:p>
        </w:tc>
        <w:tc>
          <w:tcPr>
            <w:tcW w:w="666" w:type="pct"/>
            <w:tcBorders>
              <w:top w:val="single" w:color="auto" w:sz="4" w:space="0"/>
              <w:left w:val="single" w:color="auto" w:sz="4" w:space="0"/>
              <w:right w:val="single" w:color="auto" w:sz="4" w:space="0"/>
            </w:tcBorders>
            <w:vAlign w:val="center"/>
          </w:tcPr>
          <w:p w14:paraId="40CBF5B1">
            <w:pPr>
              <w:spacing w:line="440" w:lineRule="exact"/>
              <w:rPr>
                <w:rFonts w:ascii="仿宋" w:hAnsi="仿宋" w:eastAsia="仿宋" w:cs="仿宋"/>
                <w:sz w:val="30"/>
                <w:szCs w:val="30"/>
              </w:rPr>
            </w:pPr>
            <w:r>
              <w:rPr>
                <w:rFonts w:hint="eastAsia" w:ascii="仿宋" w:hAnsi="仿宋" w:eastAsia="仿宋" w:cs="仿宋"/>
                <w:sz w:val="30"/>
                <w:szCs w:val="30"/>
              </w:rPr>
              <w:t>服务工作目标</w:t>
            </w:r>
          </w:p>
        </w:tc>
        <w:tc>
          <w:tcPr>
            <w:tcW w:w="464" w:type="pct"/>
            <w:tcBorders>
              <w:top w:val="single" w:color="auto" w:sz="4" w:space="0"/>
              <w:left w:val="single" w:color="auto" w:sz="4" w:space="0"/>
              <w:right w:val="single" w:color="auto" w:sz="4" w:space="0"/>
            </w:tcBorders>
            <w:vAlign w:val="center"/>
          </w:tcPr>
          <w:p w14:paraId="6D3A373A">
            <w:pPr>
              <w:spacing w:line="440" w:lineRule="exact"/>
              <w:rPr>
                <w:rFonts w:ascii="仿宋" w:hAnsi="仿宋" w:eastAsia="仿宋" w:cs="仿宋"/>
                <w:sz w:val="30"/>
                <w:szCs w:val="30"/>
              </w:rPr>
            </w:pPr>
            <w:r>
              <w:rPr>
                <w:rFonts w:hint="eastAsia" w:ascii="仿宋" w:hAnsi="仿宋" w:eastAsia="仿宋" w:cs="仿宋"/>
                <w:sz w:val="30"/>
                <w:szCs w:val="30"/>
              </w:rPr>
              <w:t>2分</w:t>
            </w:r>
          </w:p>
        </w:tc>
        <w:tc>
          <w:tcPr>
            <w:tcW w:w="2533" w:type="pct"/>
            <w:tcBorders>
              <w:top w:val="single" w:color="auto" w:sz="4" w:space="0"/>
              <w:left w:val="single" w:color="auto" w:sz="4" w:space="0"/>
              <w:bottom w:val="single" w:color="auto" w:sz="4" w:space="0"/>
              <w:right w:val="single" w:color="auto" w:sz="4" w:space="0"/>
            </w:tcBorders>
            <w:vAlign w:val="center"/>
          </w:tcPr>
          <w:p w14:paraId="65EF6357">
            <w:pPr>
              <w:spacing w:line="440" w:lineRule="exact"/>
              <w:rPr>
                <w:rFonts w:ascii="仿宋" w:hAnsi="仿宋" w:eastAsia="仿宋" w:cs="仿宋"/>
                <w:sz w:val="30"/>
                <w:szCs w:val="30"/>
                <w:lang w:eastAsia="ar-SA"/>
              </w:rPr>
            </w:pPr>
            <w:r>
              <w:rPr>
                <w:rFonts w:hint="eastAsia" w:ascii="仿宋" w:hAnsi="仿宋" w:eastAsia="仿宋" w:cs="仿宋"/>
                <w:sz w:val="30"/>
                <w:szCs w:val="30"/>
              </w:rPr>
              <w:t>服务工作目标达到招标文件要求得2分，否则酌情扣分。</w:t>
            </w:r>
          </w:p>
        </w:tc>
      </w:tr>
      <w:tr w14:paraId="275445ED">
        <w:tblPrEx>
          <w:tblCellMar>
            <w:top w:w="48" w:type="dxa"/>
            <w:left w:w="108" w:type="dxa"/>
            <w:bottom w:w="48" w:type="dxa"/>
            <w:right w:w="108" w:type="dxa"/>
          </w:tblCellMar>
        </w:tblPrEx>
        <w:trPr>
          <w:trHeight w:val="90" w:hRule="atLeast"/>
          <w:jc w:val="center"/>
        </w:trPr>
        <w:tc>
          <w:tcPr>
            <w:tcW w:w="666" w:type="pct"/>
            <w:vMerge w:val="continue"/>
            <w:tcBorders>
              <w:left w:val="single" w:color="auto" w:sz="4" w:space="0"/>
              <w:right w:val="single" w:color="auto" w:sz="4" w:space="0"/>
            </w:tcBorders>
            <w:vAlign w:val="center"/>
          </w:tcPr>
          <w:p w14:paraId="034B592B">
            <w:pPr>
              <w:spacing w:line="440" w:lineRule="exact"/>
              <w:rPr>
                <w:rFonts w:ascii="仿宋" w:hAnsi="仿宋" w:eastAsia="仿宋" w:cs="仿宋"/>
                <w:sz w:val="30"/>
                <w:szCs w:val="30"/>
              </w:rPr>
            </w:pPr>
          </w:p>
        </w:tc>
        <w:tc>
          <w:tcPr>
            <w:tcW w:w="669" w:type="pct"/>
            <w:vMerge w:val="continue"/>
            <w:tcBorders>
              <w:left w:val="single" w:color="auto" w:sz="4" w:space="0"/>
              <w:right w:val="single" w:color="auto" w:sz="4" w:space="0"/>
            </w:tcBorders>
            <w:vAlign w:val="center"/>
          </w:tcPr>
          <w:p w14:paraId="4513955E">
            <w:pPr>
              <w:spacing w:line="440" w:lineRule="exact"/>
              <w:rPr>
                <w:rFonts w:ascii="仿宋" w:hAnsi="仿宋" w:eastAsia="仿宋" w:cs="仿宋"/>
                <w:sz w:val="30"/>
                <w:szCs w:val="30"/>
              </w:rPr>
            </w:pPr>
          </w:p>
        </w:tc>
        <w:tc>
          <w:tcPr>
            <w:tcW w:w="666" w:type="pct"/>
            <w:tcBorders>
              <w:top w:val="single" w:color="auto" w:sz="4" w:space="0"/>
              <w:left w:val="single" w:color="auto" w:sz="4" w:space="0"/>
              <w:right w:val="single" w:color="auto" w:sz="4" w:space="0"/>
            </w:tcBorders>
            <w:vAlign w:val="center"/>
          </w:tcPr>
          <w:p w14:paraId="103CA4FE">
            <w:pPr>
              <w:spacing w:line="440" w:lineRule="exact"/>
              <w:rPr>
                <w:rFonts w:ascii="仿宋" w:hAnsi="仿宋" w:eastAsia="仿宋" w:cs="仿宋"/>
                <w:sz w:val="30"/>
                <w:szCs w:val="30"/>
              </w:rPr>
            </w:pPr>
            <w:r>
              <w:rPr>
                <w:rFonts w:hint="eastAsia" w:ascii="仿宋" w:hAnsi="仿宋" w:eastAsia="仿宋" w:cs="仿宋"/>
                <w:sz w:val="30"/>
                <w:szCs w:val="30"/>
              </w:rPr>
              <w:t>机构设置和岗位职责</w:t>
            </w:r>
          </w:p>
          <w:p w14:paraId="408811C7">
            <w:pPr>
              <w:spacing w:line="440" w:lineRule="exact"/>
              <w:rPr>
                <w:rFonts w:ascii="仿宋" w:hAnsi="仿宋" w:eastAsia="仿宋" w:cs="仿宋"/>
                <w:sz w:val="30"/>
                <w:szCs w:val="30"/>
              </w:rPr>
            </w:pPr>
          </w:p>
        </w:tc>
        <w:tc>
          <w:tcPr>
            <w:tcW w:w="464" w:type="pct"/>
            <w:tcBorders>
              <w:top w:val="single" w:color="auto" w:sz="4" w:space="0"/>
              <w:left w:val="single" w:color="auto" w:sz="4" w:space="0"/>
              <w:right w:val="single" w:color="auto" w:sz="4" w:space="0"/>
            </w:tcBorders>
            <w:vAlign w:val="center"/>
          </w:tcPr>
          <w:p w14:paraId="3549A5DD">
            <w:pPr>
              <w:spacing w:line="440" w:lineRule="exact"/>
              <w:rPr>
                <w:rFonts w:ascii="仿宋" w:hAnsi="仿宋" w:eastAsia="仿宋" w:cs="仿宋"/>
                <w:sz w:val="30"/>
                <w:szCs w:val="30"/>
              </w:rPr>
            </w:pPr>
            <w:r>
              <w:rPr>
                <w:rFonts w:hint="eastAsia" w:ascii="仿宋" w:hAnsi="仿宋" w:eastAsia="仿宋" w:cs="仿宋"/>
                <w:sz w:val="30"/>
                <w:szCs w:val="30"/>
              </w:rPr>
              <w:t>2分</w:t>
            </w:r>
          </w:p>
        </w:tc>
        <w:tc>
          <w:tcPr>
            <w:tcW w:w="2533" w:type="pct"/>
            <w:tcBorders>
              <w:top w:val="single" w:color="auto" w:sz="4" w:space="0"/>
              <w:left w:val="single" w:color="auto" w:sz="4" w:space="0"/>
              <w:bottom w:val="single" w:color="auto" w:sz="4" w:space="0"/>
              <w:right w:val="single" w:color="auto" w:sz="4" w:space="0"/>
            </w:tcBorders>
            <w:vAlign w:val="center"/>
          </w:tcPr>
          <w:p w14:paraId="5183F893">
            <w:pPr>
              <w:spacing w:line="440" w:lineRule="exact"/>
              <w:rPr>
                <w:rFonts w:ascii="仿宋" w:hAnsi="仿宋" w:eastAsia="仿宋" w:cs="仿宋"/>
                <w:sz w:val="30"/>
                <w:szCs w:val="30"/>
              </w:rPr>
            </w:pPr>
            <w:r>
              <w:rPr>
                <w:rFonts w:hint="eastAsia" w:ascii="仿宋" w:hAnsi="仿宋" w:eastAsia="仿宋" w:cs="仿宋"/>
                <w:sz w:val="30"/>
                <w:szCs w:val="30"/>
              </w:rPr>
              <w:t>1.组织机构形式符合工程特点，职能划分明确得1分，否则不得分。</w:t>
            </w:r>
          </w:p>
          <w:p w14:paraId="1FC272FB">
            <w:pPr>
              <w:spacing w:line="440" w:lineRule="exact"/>
              <w:rPr>
                <w:rFonts w:ascii="仿宋" w:hAnsi="仿宋" w:eastAsia="仿宋" w:cs="仿宋"/>
                <w:sz w:val="30"/>
                <w:szCs w:val="30"/>
                <w:lang w:eastAsia="ar-SA"/>
              </w:rPr>
            </w:pPr>
            <w:r>
              <w:rPr>
                <w:rFonts w:hint="eastAsia" w:ascii="仿宋" w:hAnsi="仿宋" w:eastAsia="仿宋" w:cs="仿宋"/>
                <w:sz w:val="30"/>
                <w:szCs w:val="30"/>
              </w:rPr>
              <w:t>2.人员专业、技术职称结构搭配合理，符合工程需要得满分1分，一般得0.5分，不合理或未提供配置方案得0分。</w:t>
            </w:r>
          </w:p>
        </w:tc>
      </w:tr>
      <w:tr w14:paraId="063A4B2C">
        <w:tblPrEx>
          <w:tblCellMar>
            <w:top w:w="48" w:type="dxa"/>
            <w:left w:w="108" w:type="dxa"/>
            <w:bottom w:w="48" w:type="dxa"/>
            <w:right w:w="108" w:type="dxa"/>
          </w:tblCellMar>
        </w:tblPrEx>
        <w:trPr>
          <w:trHeight w:val="90" w:hRule="atLeast"/>
          <w:jc w:val="center"/>
        </w:trPr>
        <w:tc>
          <w:tcPr>
            <w:tcW w:w="666" w:type="pct"/>
            <w:vMerge w:val="continue"/>
            <w:tcBorders>
              <w:left w:val="single" w:color="auto" w:sz="4" w:space="0"/>
              <w:right w:val="single" w:color="auto" w:sz="4" w:space="0"/>
            </w:tcBorders>
            <w:vAlign w:val="center"/>
          </w:tcPr>
          <w:p w14:paraId="21EE259A">
            <w:pPr>
              <w:spacing w:line="440" w:lineRule="exact"/>
              <w:rPr>
                <w:rFonts w:ascii="仿宋" w:hAnsi="仿宋" w:eastAsia="仿宋" w:cs="仿宋"/>
                <w:sz w:val="30"/>
                <w:szCs w:val="30"/>
              </w:rPr>
            </w:pPr>
          </w:p>
        </w:tc>
        <w:tc>
          <w:tcPr>
            <w:tcW w:w="669" w:type="pct"/>
            <w:vMerge w:val="continue"/>
            <w:tcBorders>
              <w:left w:val="single" w:color="auto" w:sz="4" w:space="0"/>
              <w:right w:val="single" w:color="auto" w:sz="4" w:space="0"/>
            </w:tcBorders>
            <w:vAlign w:val="center"/>
          </w:tcPr>
          <w:p w14:paraId="00CEAD8B">
            <w:pPr>
              <w:spacing w:line="440" w:lineRule="exact"/>
              <w:rPr>
                <w:rFonts w:ascii="仿宋" w:hAnsi="仿宋" w:eastAsia="仿宋" w:cs="仿宋"/>
                <w:sz w:val="30"/>
                <w:szCs w:val="30"/>
              </w:rPr>
            </w:pPr>
          </w:p>
        </w:tc>
        <w:tc>
          <w:tcPr>
            <w:tcW w:w="666" w:type="pct"/>
            <w:tcBorders>
              <w:top w:val="single" w:color="auto" w:sz="4" w:space="0"/>
              <w:left w:val="single" w:color="auto" w:sz="4" w:space="0"/>
              <w:right w:val="single" w:color="auto" w:sz="4" w:space="0"/>
            </w:tcBorders>
            <w:vAlign w:val="center"/>
          </w:tcPr>
          <w:p w14:paraId="45E91D01">
            <w:pPr>
              <w:spacing w:line="440" w:lineRule="exact"/>
              <w:rPr>
                <w:rFonts w:ascii="仿宋" w:hAnsi="仿宋" w:eastAsia="仿宋" w:cs="仿宋"/>
                <w:sz w:val="30"/>
                <w:szCs w:val="30"/>
              </w:rPr>
            </w:pPr>
            <w:r>
              <w:rPr>
                <w:rFonts w:hint="eastAsia" w:ascii="仿宋" w:hAnsi="仿宋" w:eastAsia="仿宋" w:cs="仿宋"/>
                <w:sz w:val="30"/>
                <w:szCs w:val="30"/>
              </w:rPr>
              <w:t>编制方案</w:t>
            </w:r>
          </w:p>
          <w:p w14:paraId="44CA1ED0">
            <w:pPr>
              <w:spacing w:line="440" w:lineRule="exact"/>
              <w:rPr>
                <w:rFonts w:ascii="仿宋" w:hAnsi="仿宋" w:eastAsia="仿宋" w:cs="仿宋"/>
                <w:sz w:val="30"/>
                <w:szCs w:val="30"/>
              </w:rPr>
            </w:pPr>
          </w:p>
        </w:tc>
        <w:tc>
          <w:tcPr>
            <w:tcW w:w="464" w:type="pct"/>
            <w:tcBorders>
              <w:top w:val="single" w:color="auto" w:sz="4" w:space="0"/>
              <w:left w:val="single" w:color="auto" w:sz="4" w:space="0"/>
              <w:right w:val="single" w:color="auto" w:sz="4" w:space="0"/>
            </w:tcBorders>
            <w:vAlign w:val="center"/>
          </w:tcPr>
          <w:p w14:paraId="5903919E">
            <w:pPr>
              <w:spacing w:line="440" w:lineRule="exact"/>
              <w:rPr>
                <w:rFonts w:ascii="仿宋" w:hAnsi="仿宋" w:eastAsia="仿宋" w:cs="仿宋"/>
                <w:sz w:val="30"/>
                <w:szCs w:val="30"/>
              </w:rPr>
            </w:pPr>
            <w:r>
              <w:rPr>
                <w:rFonts w:hint="eastAsia" w:ascii="仿宋" w:hAnsi="仿宋" w:eastAsia="仿宋" w:cs="仿宋"/>
                <w:sz w:val="30"/>
                <w:szCs w:val="30"/>
              </w:rPr>
              <w:t>10分</w:t>
            </w:r>
          </w:p>
        </w:tc>
        <w:tc>
          <w:tcPr>
            <w:tcW w:w="2533" w:type="pct"/>
            <w:tcBorders>
              <w:top w:val="single" w:color="auto" w:sz="4" w:space="0"/>
              <w:left w:val="single" w:color="auto" w:sz="4" w:space="0"/>
              <w:bottom w:val="single" w:color="auto" w:sz="4" w:space="0"/>
              <w:right w:val="single" w:color="auto" w:sz="4" w:space="0"/>
            </w:tcBorders>
            <w:vAlign w:val="center"/>
          </w:tcPr>
          <w:p w14:paraId="7B8DF67D">
            <w:pPr>
              <w:spacing w:line="440" w:lineRule="exact"/>
              <w:rPr>
                <w:rFonts w:ascii="仿宋" w:hAnsi="仿宋" w:eastAsia="仿宋" w:cs="仿宋"/>
                <w:sz w:val="30"/>
                <w:szCs w:val="30"/>
                <w:lang w:eastAsia="ar-SA"/>
              </w:rPr>
            </w:pPr>
            <w:r>
              <w:rPr>
                <w:rFonts w:hint="eastAsia" w:ascii="仿宋" w:hAnsi="仿宋" w:eastAsia="仿宋" w:cs="仿宋"/>
                <w:sz w:val="30"/>
                <w:szCs w:val="30"/>
              </w:rPr>
              <w:t>方案整体是否经济实用合理、系统完善、有较强的的指导性和针对性，合理得(</w:t>
            </w:r>
            <w:r>
              <w:rPr>
                <w:rFonts w:hint="eastAsia" w:ascii="仿宋" w:hAnsi="仿宋" w:eastAsia="仿宋" w:cs="仿宋"/>
                <w:sz w:val="30"/>
                <w:szCs w:val="30"/>
                <w:lang w:val="en-US" w:eastAsia="zh-CN"/>
              </w:rPr>
              <w:t>0</w:t>
            </w:r>
            <w:r>
              <w:rPr>
                <w:rFonts w:hint="eastAsia" w:ascii="仿宋" w:hAnsi="仿宋" w:eastAsia="仿宋" w:cs="仿宋"/>
                <w:sz w:val="30"/>
                <w:szCs w:val="30"/>
              </w:rPr>
              <w:t>-10)分；基本合理得(6-8)分；指导性和针对性不足得[1-5]分；未提供得0分。</w:t>
            </w:r>
          </w:p>
        </w:tc>
      </w:tr>
      <w:tr w14:paraId="4217839D">
        <w:tblPrEx>
          <w:tblCellMar>
            <w:top w:w="48" w:type="dxa"/>
            <w:left w:w="108" w:type="dxa"/>
            <w:bottom w:w="48" w:type="dxa"/>
            <w:right w:w="108" w:type="dxa"/>
          </w:tblCellMar>
        </w:tblPrEx>
        <w:trPr>
          <w:trHeight w:val="90" w:hRule="atLeast"/>
          <w:jc w:val="center"/>
        </w:trPr>
        <w:tc>
          <w:tcPr>
            <w:tcW w:w="666" w:type="pct"/>
            <w:vMerge w:val="continue"/>
            <w:tcBorders>
              <w:left w:val="single" w:color="auto" w:sz="4" w:space="0"/>
              <w:right w:val="single" w:color="auto" w:sz="4" w:space="0"/>
            </w:tcBorders>
            <w:vAlign w:val="center"/>
          </w:tcPr>
          <w:p w14:paraId="5F4FCDBA">
            <w:pPr>
              <w:spacing w:line="440" w:lineRule="exact"/>
              <w:rPr>
                <w:rFonts w:ascii="仿宋" w:hAnsi="仿宋" w:eastAsia="仿宋" w:cs="仿宋"/>
                <w:sz w:val="30"/>
                <w:szCs w:val="30"/>
              </w:rPr>
            </w:pPr>
          </w:p>
        </w:tc>
        <w:tc>
          <w:tcPr>
            <w:tcW w:w="669" w:type="pct"/>
            <w:vMerge w:val="continue"/>
            <w:tcBorders>
              <w:left w:val="single" w:color="auto" w:sz="4" w:space="0"/>
              <w:right w:val="single" w:color="auto" w:sz="4" w:space="0"/>
            </w:tcBorders>
            <w:vAlign w:val="center"/>
          </w:tcPr>
          <w:p w14:paraId="4D3B50BB">
            <w:pPr>
              <w:spacing w:line="440" w:lineRule="exact"/>
              <w:rPr>
                <w:rFonts w:ascii="仿宋" w:hAnsi="仿宋" w:eastAsia="仿宋" w:cs="仿宋"/>
                <w:sz w:val="30"/>
                <w:szCs w:val="30"/>
              </w:rPr>
            </w:pPr>
          </w:p>
        </w:tc>
        <w:tc>
          <w:tcPr>
            <w:tcW w:w="666" w:type="pct"/>
            <w:tcBorders>
              <w:top w:val="single" w:color="auto" w:sz="4" w:space="0"/>
              <w:left w:val="single" w:color="auto" w:sz="4" w:space="0"/>
              <w:right w:val="single" w:color="auto" w:sz="4" w:space="0"/>
            </w:tcBorders>
            <w:vAlign w:val="center"/>
          </w:tcPr>
          <w:p w14:paraId="0DAB9EBA">
            <w:pPr>
              <w:spacing w:line="440" w:lineRule="exact"/>
              <w:rPr>
                <w:rFonts w:ascii="仿宋" w:hAnsi="仿宋" w:eastAsia="仿宋" w:cs="仿宋"/>
                <w:sz w:val="30"/>
                <w:szCs w:val="30"/>
              </w:rPr>
            </w:pPr>
            <w:r>
              <w:rPr>
                <w:rFonts w:hint="eastAsia" w:ascii="仿宋" w:hAnsi="仿宋" w:eastAsia="仿宋" w:cs="仿宋"/>
                <w:sz w:val="30"/>
                <w:szCs w:val="30"/>
              </w:rPr>
              <w:t>服务质量</w:t>
            </w:r>
          </w:p>
        </w:tc>
        <w:tc>
          <w:tcPr>
            <w:tcW w:w="464" w:type="pct"/>
            <w:tcBorders>
              <w:top w:val="single" w:color="auto" w:sz="4" w:space="0"/>
              <w:left w:val="single" w:color="auto" w:sz="4" w:space="0"/>
              <w:right w:val="single" w:color="auto" w:sz="4" w:space="0"/>
            </w:tcBorders>
            <w:vAlign w:val="center"/>
          </w:tcPr>
          <w:p w14:paraId="0C0C1E4F">
            <w:pPr>
              <w:spacing w:line="440" w:lineRule="exact"/>
              <w:rPr>
                <w:rFonts w:ascii="仿宋" w:hAnsi="仿宋" w:eastAsia="仿宋" w:cs="仿宋"/>
                <w:sz w:val="30"/>
                <w:szCs w:val="30"/>
              </w:rPr>
            </w:pPr>
            <w:r>
              <w:rPr>
                <w:rFonts w:hint="eastAsia" w:ascii="仿宋" w:hAnsi="仿宋" w:eastAsia="仿宋" w:cs="仿宋"/>
                <w:sz w:val="30"/>
                <w:szCs w:val="30"/>
              </w:rPr>
              <w:t>2分</w:t>
            </w:r>
          </w:p>
        </w:tc>
        <w:tc>
          <w:tcPr>
            <w:tcW w:w="2533" w:type="pct"/>
            <w:tcBorders>
              <w:top w:val="single" w:color="auto" w:sz="4" w:space="0"/>
              <w:left w:val="single" w:color="auto" w:sz="4" w:space="0"/>
              <w:bottom w:val="single" w:color="auto" w:sz="4" w:space="0"/>
              <w:right w:val="single" w:color="auto" w:sz="4" w:space="0"/>
            </w:tcBorders>
            <w:vAlign w:val="center"/>
          </w:tcPr>
          <w:p w14:paraId="3A1FA144">
            <w:pPr>
              <w:spacing w:line="440" w:lineRule="exact"/>
              <w:rPr>
                <w:rFonts w:ascii="仿宋" w:hAnsi="仿宋" w:eastAsia="仿宋" w:cs="仿宋"/>
                <w:sz w:val="30"/>
                <w:szCs w:val="30"/>
                <w:lang w:eastAsia="ar-SA"/>
              </w:rPr>
            </w:pPr>
            <w:r>
              <w:rPr>
                <w:rFonts w:hint="eastAsia" w:ascii="仿宋" w:hAnsi="仿宋" w:eastAsia="仿宋" w:cs="仿宋"/>
                <w:sz w:val="30"/>
                <w:szCs w:val="30"/>
              </w:rPr>
              <w:t>质量控制措施、服务承诺合理，有针对性得2分，质量控制措施、服务承诺基本合理，针对性一般得1分，否则不得分。</w:t>
            </w:r>
          </w:p>
        </w:tc>
      </w:tr>
      <w:tr w14:paraId="4B9B778E">
        <w:tblPrEx>
          <w:tblCellMar>
            <w:top w:w="48" w:type="dxa"/>
            <w:left w:w="108" w:type="dxa"/>
            <w:bottom w:w="48" w:type="dxa"/>
            <w:right w:w="108" w:type="dxa"/>
          </w:tblCellMar>
        </w:tblPrEx>
        <w:trPr>
          <w:trHeight w:val="90" w:hRule="atLeast"/>
          <w:jc w:val="center"/>
        </w:trPr>
        <w:tc>
          <w:tcPr>
            <w:tcW w:w="666" w:type="pct"/>
            <w:vMerge w:val="continue"/>
            <w:tcBorders>
              <w:left w:val="single" w:color="auto" w:sz="4" w:space="0"/>
              <w:bottom w:val="single" w:color="auto" w:sz="4" w:space="0"/>
              <w:right w:val="single" w:color="auto" w:sz="4" w:space="0"/>
            </w:tcBorders>
            <w:vAlign w:val="center"/>
          </w:tcPr>
          <w:p w14:paraId="26167636">
            <w:pPr>
              <w:spacing w:line="440" w:lineRule="exact"/>
              <w:rPr>
                <w:rFonts w:ascii="仿宋" w:hAnsi="仿宋" w:eastAsia="仿宋" w:cs="仿宋"/>
                <w:sz w:val="30"/>
                <w:szCs w:val="30"/>
              </w:rPr>
            </w:pPr>
          </w:p>
        </w:tc>
        <w:tc>
          <w:tcPr>
            <w:tcW w:w="669" w:type="pct"/>
            <w:vMerge w:val="continue"/>
            <w:tcBorders>
              <w:left w:val="single" w:color="auto" w:sz="4" w:space="0"/>
              <w:bottom w:val="single" w:color="auto" w:sz="4" w:space="0"/>
              <w:right w:val="single" w:color="auto" w:sz="4" w:space="0"/>
            </w:tcBorders>
            <w:vAlign w:val="center"/>
          </w:tcPr>
          <w:p w14:paraId="4F66C902">
            <w:pPr>
              <w:spacing w:line="440" w:lineRule="exact"/>
              <w:rPr>
                <w:rFonts w:ascii="仿宋" w:hAnsi="仿宋" w:eastAsia="仿宋" w:cs="仿宋"/>
                <w:sz w:val="30"/>
                <w:szCs w:val="30"/>
              </w:rPr>
            </w:pPr>
          </w:p>
        </w:tc>
        <w:tc>
          <w:tcPr>
            <w:tcW w:w="666" w:type="pct"/>
            <w:tcBorders>
              <w:top w:val="single" w:color="auto" w:sz="4" w:space="0"/>
              <w:left w:val="single" w:color="auto" w:sz="4" w:space="0"/>
              <w:right w:val="single" w:color="auto" w:sz="4" w:space="0"/>
            </w:tcBorders>
            <w:vAlign w:val="center"/>
          </w:tcPr>
          <w:p w14:paraId="5168C3B6">
            <w:pPr>
              <w:spacing w:line="440" w:lineRule="exact"/>
              <w:rPr>
                <w:rFonts w:ascii="仿宋" w:hAnsi="仿宋" w:eastAsia="仿宋" w:cs="仿宋"/>
                <w:sz w:val="30"/>
                <w:szCs w:val="30"/>
              </w:rPr>
            </w:pPr>
            <w:r>
              <w:rPr>
                <w:rFonts w:hint="eastAsia" w:ascii="仿宋" w:hAnsi="仿宋" w:eastAsia="仿宋" w:cs="仿宋"/>
                <w:sz w:val="30"/>
                <w:szCs w:val="30"/>
              </w:rPr>
              <w:t>进度保证措施</w:t>
            </w:r>
          </w:p>
        </w:tc>
        <w:tc>
          <w:tcPr>
            <w:tcW w:w="464" w:type="pct"/>
            <w:tcBorders>
              <w:top w:val="single" w:color="auto" w:sz="4" w:space="0"/>
              <w:left w:val="single" w:color="auto" w:sz="4" w:space="0"/>
              <w:right w:val="single" w:color="auto" w:sz="4" w:space="0"/>
            </w:tcBorders>
            <w:vAlign w:val="center"/>
          </w:tcPr>
          <w:p w14:paraId="162A7EAA">
            <w:pPr>
              <w:spacing w:line="440" w:lineRule="exact"/>
              <w:rPr>
                <w:rFonts w:ascii="仿宋" w:hAnsi="仿宋" w:eastAsia="仿宋" w:cs="仿宋"/>
                <w:sz w:val="30"/>
                <w:szCs w:val="30"/>
              </w:rPr>
            </w:pPr>
            <w:r>
              <w:rPr>
                <w:rFonts w:hint="eastAsia" w:ascii="仿宋" w:hAnsi="仿宋" w:eastAsia="仿宋" w:cs="仿宋"/>
                <w:sz w:val="30"/>
                <w:szCs w:val="30"/>
              </w:rPr>
              <w:t>1分</w:t>
            </w:r>
          </w:p>
        </w:tc>
        <w:tc>
          <w:tcPr>
            <w:tcW w:w="2533" w:type="pct"/>
            <w:tcBorders>
              <w:top w:val="single" w:color="auto" w:sz="4" w:space="0"/>
              <w:left w:val="single" w:color="auto" w:sz="4" w:space="0"/>
              <w:bottom w:val="single" w:color="auto" w:sz="4" w:space="0"/>
              <w:right w:val="single" w:color="auto" w:sz="4" w:space="0"/>
            </w:tcBorders>
            <w:vAlign w:val="center"/>
          </w:tcPr>
          <w:p w14:paraId="4661E836">
            <w:pPr>
              <w:spacing w:line="440" w:lineRule="exact"/>
              <w:rPr>
                <w:rFonts w:ascii="仿宋" w:hAnsi="仿宋" w:eastAsia="仿宋" w:cs="仿宋"/>
                <w:sz w:val="30"/>
                <w:szCs w:val="30"/>
              </w:rPr>
            </w:pPr>
            <w:r>
              <w:rPr>
                <w:rFonts w:ascii="仿宋" w:hAnsi="仿宋" w:eastAsia="仿宋" w:cs="仿宋"/>
                <w:sz w:val="30"/>
                <w:szCs w:val="30"/>
              </w:rPr>
              <w:t>工作及进度计划完善、具体，针对性较强的得</w:t>
            </w:r>
            <w:r>
              <w:rPr>
                <w:rFonts w:hint="eastAsia" w:ascii="仿宋" w:hAnsi="仿宋" w:eastAsia="仿宋" w:cs="仿宋"/>
                <w:sz w:val="30"/>
                <w:szCs w:val="30"/>
              </w:rPr>
              <w:t>1</w:t>
            </w:r>
            <w:r>
              <w:rPr>
                <w:rFonts w:ascii="仿宋" w:hAnsi="仿宋" w:eastAsia="仿宋" w:cs="仿宋"/>
                <w:sz w:val="30"/>
                <w:szCs w:val="30"/>
              </w:rPr>
              <w:t>分；工作及进度计划可行，针对性一般的得</w:t>
            </w:r>
            <w:r>
              <w:rPr>
                <w:rFonts w:hint="eastAsia" w:ascii="仿宋" w:hAnsi="仿宋" w:eastAsia="仿宋" w:cs="仿宋"/>
                <w:sz w:val="30"/>
                <w:szCs w:val="30"/>
              </w:rPr>
              <w:t>0.5</w:t>
            </w:r>
            <w:r>
              <w:rPr>
                <w:rFonts w:ascii="仿宋" w:hAnsi="仿宋" w:eastAsia="仿宋" w:cs="仿宋"/>
                <w:sz w:val="30"/>
                <w:szCs w:val="30"/>
              </w:rPr>
              <w:t>分；没有提出合理化建议得0分。</w:t>
            </w:r>
          </w:p>
        </w:tc>
      </w:tr>
      <w:tr w14:paraId="61F16571">
        <w:tblPrEx>
          <w:tblCellMar>
            <w:top w:w="48" w:type="dxa"/>
            <w:left w:w="108" w:type="dxa"/>
            <w:bottom w:w="48" w:type="dxa"/>
            <w:right w:w="108" w:type="dxa"/>
          </w:tblCellMar>
        </w:tblPrEx>
        <w:trPr>
          <w:trHeight w:val="1776" w:hRule="atLeast"/>
          <w:jc w:val="center"/>
        </w:trPr>
        <w:tc>
          <w:tcPr>
            <w:tcW w:w="666" w:type="pct"/>
            <w:tcBorders>
              <w:top w:val="single" w:color="auto" w:sz="4" w:space="0"/>
              <w:left w:val="single" w:color="auto" w:sz="4" w:space="0"/>
              <w:bottom w:val="single" w:color="auto" w:sz="4" w:space="0"/>
              <w:right w:val="single" w:color="auto" w:sz="4" w:space="0"/>
            </w:tcBorders>
            <w:vAlign w:val="center"/>
          </w:tcPr>
          <w:p w14:paraId="61B66194">
            <w:pPr>
              <w:widowControl/>
              <w:spacing w:line="440" w:lineRule="exact"/>
              <w:ind w:firstLine="0" w:firstLineChars="0"/>
              <w:rPr>
                <w:rFonts w:ascii="仿宋" w:hAnsi="仿宋" w:eastAsia="仿宋" w:cs="仿宋"/>
                <w:sz w:val="30"/>
                <w:szCs w:val="30"/>
              </w:rPr>
            </w:pPr>
            <w:r>
              <w:rPr>
                <w:rFonts w:ascii="仿宋" w:hAnsi="仿宋" w:eastAsia="仿宋" w:cs="仿宋"/>
                <w:sz w:val="30"/>
                <w:szCs w:val="30"/>
              </w:rPr>
              <w:t>C</w:t>
            </w:r>
          </w:p>
        </w:tc>
        <w:tc>
          <w:tcPr>
            <w:tcW w:w="669" w:type="pct"/>
            <w:tcBorders>
              <w:top w:val="single" w:color="auto" w:sz="4" w:space="0"/>
              <w:left w:val="single" w:color="auto" w:sz="4" w:space="0"/>
              <w:bottom w:val="single" w:color="auto" w:sz="4" w:space="0"/>
              <w:right w:val="single" w:color="auto" w:sz="4" w:space="0"/>
            </w:tcBorders>
            <w:vAlign w:val="center"/>
          </w:tcPr>
          <w:p w14:paraId="443ED7DF">
            <w:pPr>
              <w:widowControl/>
              <w:spacing w:line="440" w:lineRule="exact"/>
              <w:rPr>
                <w:rFonts w:ascii="仿宋" w:hAnsi="仿宋" w:eastAsia="仿宋" w:cs="仿宋"/>
                <w:sz w:val="30"/>
                <w:szCs w:val="30"/>
              </w:rPr>
            </w:pPr>
            <w:r>
              <w:rPr>
                <w:rFonts w:hint="eastAsia" w:ascii="仿宋" w:hAnsi="仿宋" w:eastAsia="仿宋" w:cs="仿宋"/>
                <w:sz w:val="30"/>
                <w:szCs w:val="30"/>
              </w:rPr>
              <w:t>报价部分（满分</w:t>
            </w:r>
            <w:r>
              <w:rPr>
                <w:rFonts w:ascii="仿宋" w:hAnsi="仿宋" w:eastAsia="仿宋" w:cs="仿宋"/>
                <w:sz w:val="30"/>
                <w:szCs w:val="30"/>
              </w:rPr>
              <w:t>50分）</w:t>
            </w:r>
          </w:p>
        </w:tc>
        <w:tc>
          <w:tcPr>
            <w:tcW w:w="666" w:type="pct"/>
            <w:tcBorders>
              <w:top w:val="single" w:color="auto" w:sz="4" w:space="0"/>
              <w:left w:val="single" w:color="auto" w:sz="4" w:space="0"/>
              <w:bottom w:val="single" w:color="auto" w:sz="4" w:space="0"/>
              <w:right w:val="single" w:color="auto" w:sz="4" w:space="0"/>
            </w:tcBorders>
            <w:vAlign w:val="center"/>
          </w:tcPr>
          <w:p w14:paraId="24B60B17">
            <w:pPr>
              <w:suppressAutoHyphens/>
              <w:spacing w:line="440" w:lineRule="exact"/>
              <w:rPr>
                <w:rFonts w:ascii="仿宋" w:hAnsi="仿宋" w:eastAsia="仿宋" w:cs="仿宋"/>
                <w:sz w:val="30"/>
                <w:szCs w:val="30"/>
              </w:rPr>
            </w:pPr>
            <w:r>
              <w:rPr>
                <w:rFonts w:hint="eastAsia" w:ascii="仿宋" w:hAnsi="仿宋" w:eastAsia="仿宋" w:cs="仿宋"/>
                <w:sz w:val="30"/>
                <w:szCs w:val="30"/>
              </w:rPr>
              <w:t>投标报价</w:t>
            </w:r>
          </w:p>
        </w:tc>
        <w:tc>
          <w:tcPr>
            <w:tcW w:w="464" w:type="pct"/>
            <w:tcBorders>
              <w:top w:val="single" w:color="auto" w:sz="4" w:space="0"/>
              <w:left w:val="single" w:color="auto" w:sz="4" w:space="0"/>
              <w:bottom w:val="single" w:color="auto" w:sz="4" w:space="0"/>
              <w:right w:val="single" w:color="auto" w:sz="4" w:space="0"/>
            </w:tcBorders>
            <w:vAlign w:val="center"/>
          </w:tcPr>
          <w:p w14:paraId="6248183A">
            <w:pPr>
              <w:suppressAutoHyphens/>
              <w:spacing w:line="440" w:lineRule="exact"/>
              <w:rPr>
                <w:rFonts w:ascii="仿宋" w:hAnsi="仿宋" w:eastAsia="仿宋" w:cs="仿宋"/>
                <w:sz w:val="30"/>
                <w:szCs w:val="30"/>
              </w:rPr>
            </w:pPr>
            <w:r>
              <w:rPr>
                <w:rFonts w:ascii="仿宋" w:hAnsi="仿宋" w:eastAsia="仿宋" w:cs="仿宋"/>
                <w:sz w:val="30"/>
                <w:szCs w:val="30"/>
              </w:rPr>
              <w:t>50分</w:t>
            </w:r>
          </w:p>
        </w:tc>
        <w:tc>
          <w:tcPr>
            <w:tcW w:w="2533" w:type="pct"/>
            <w:tcBorders>
              <w:top w:val="single" w:color="auto" w:sz="4" w:space="0"/>
              <w:left w:val="single" w:color="auto" w:sz="4" w:space="0"/>
              <w:bottom w:val="single" w:color="auto" w:sz="4" w:space="0"/>
              <w:right w:val="single" w:color="auto" w:sz="4" w:space="0"/>
            </w:tcBorders>
            <w:vAlign w:val="center"/>
          </w:tcPr>
          <w:p w14:paraId="206E050D">
            <w:pPr>
              <w:spacing w:line="440" w:lineRule="exact"/>
              <w:ind w:firstLine="0" w:firstLineChars="0"/>
              <w:rPr>
                <w:rFonts w:ascii="仿宋" w:hAnsi="仿宋" w:eastAsia="仿宋" w:cs="仿宋"/>
                <w:color w:val="auto"/>
                <w:sz w:val="30"/>
                <w:szCs w:val="30"/>
                <w:lang w:eastAsia="ar-SA"/>
              </w:rPr>
            </w:pPr>
            <w:r>
              <w:rPr>
                <w:rFonts w:hint="eastAsia" w:ascii="仿宋" w:hAnsi="仿宋" w:eastAsia="仿宋" w:cs="仿宋"/>
                <w:color w:val="auto"/>
                <w:sz w:val="30"/>
                <w:szCs w:val="30"/>
                <w:lang w:eastAsia="ar-SA"/>
              </w:rPr>
              <w:t>投标人报价等于基准时，得基准分</w:t>
            </w:r>
            <w:r>
              <w:rPr>
                <w:rFonts w:ascii="仿宋" w:hAnsi="仿宋" w:eastAsia="仿宋" w:cs="仿宋"/>
                <w:color w:val="auto"/>
                <w:sz w:val="30"/>
                <w:szCs w:val="30"/>
              </w:rPr>
              <w:t>50</w:t>
            </w:r>
            <w:r>
              <w:rPr>
                <w:rFonts w:hint="eastAsia" w:ascii="仿宋" w:hAnsi="仿宋" w:eastAsia="仿宋" w:cs="仿宋"/>
                <w:color w:val="auto"/>
                <w:sz w:val="30"/>
                <w:szCs w:val="30"/>
                <w:lang w:eastAsia="ar-SA"/>
              </w:rPr>
              <w:t>分；</w:t>
            </w:r>
          </w:p>
          <w:p w14:paraId="2E106204">
            <w:pPr>
              <w:spacing w:line="440" w:lineRule="exact"/>
              <w:ind w:firstLine="0" w:firstLineChars="0"/>
              <w:rPr>
                <w:rFonts w:ascii="仿宋" w:hAnsi="仿宋" w:eastAsia="仿宋" w:cs="仿宋"/>
                <w:color w:val="auto"/>
                <w:sz w:val="30"/>
                <w:szCs w:val="30"/>
                <w:lang w:eastAsia="ar-SA"/>
              </w:rPr>
            </w:pPr>
            <w:r>
              <w:rPr>
                <w:rFonts w:hint="eastAsia" w:ascii="仿宋" w:hAnsi="仿宋" w:eastAsia="仿宋" w:cs="仿宋"/>
                <w:color w:val="auto"/>
                <w:sz w:val="30"/>
                <w:szCs w:val="30"/>
              </w:rPr>
              <w:t>报价</w:t>
            </w:r>
            <w:r>
              <w:rPr>
                <w:rFonts w:hint="eastAsia" w:ascii="仿宋" w:hAnsi="仿宋" w:eastAsia="仿宋" w:cs="仿宋"/>
                <w:color w:val="auto"/>
                <w:sz w:val="30"/>
                <w:szCs w:val="30"/>
                <w:lang w:eastAsia="ar-SA"/>
              </w:rPr>
              <w:t>每高于基准</w:t>
            </w:r>
            <w:r>
              <w:rPr>
                <w:rFonts w:ascii="仿宋" w:hAnsi="仿宋" w:eastAsia="仿宋" w:cs="仿宋"/>
                <w:color w:val="auto"/>
                <w:sz w:val="30"/>
                <w:szCs w:val="30"/>
                <w:lang w:eastAsia="ar-SA"/>
              </w:rPr>
              <w:t>1%时扣</w:t>
            </w:r>
            <w:r>
              <w:rPr>
                <w:rFonts w:ascii="仿宋" w:hAnsi="仿宋" w:eastAsia="仿宋" w:cs="仿宋"/>
                <w:color w:val="auto"/>
                <w:sz w:val="30"/>
                <w:szCs w:val="30"/>
              </w:rPr>
              <w:t>0.2</w:t>
            </w:r>
            <w:r>
              <w:rPr>
                <w:rFonts w:hint="eastAsia" w:ascii="仿宋" w:hAnsi="仿宋" w:eastAsia="仿宋" w:cs="仿宋"/>
                <w:color w:val="auto"/>
                <w:sz w:val="30"/>
                <w:szCs w:val="30"/>
                <w:lang w:eastAsia="ar-SA"/>
              </w:rPr>
              <w:t>分，</w:t>
            </w:r>
            <w:r>
              <w:rPr>
                <w:rFonts w:hint="eastAsia" w:ascii="仿宋" w:hAnsi="仿宋" w:eastAsia="仿宋" w:cs="仿宋"/>
                <w:color w:val="auto"/>
                <w:sz w:val="30"/>
                <w:szCs w:val="30"/>
              </w:rPr>
              <w:t>最多扣</w:t>
            </w:r>
            <w:r>
              <w:rPr>
                <w:rFonts w:ascii="仿宋" w:hAnsi="仿宋" w:eastAsia="仿宋" w:cs="仿宋"/>
                <w:color w:val="auto"/>
                <w:sz w:val="30"/>
                <w:szCs w:val="30"/>
              </w:rPr>
              <w:t>20分</w:t>
            </w:r>
            <w:r>
              <w:rPr>
                <w:rFonts w:hint="eastAsia" w:ascii="仿宋" w:hAnsi="仿宋" w:eastAsia="仿宋" w:cs="仿宋"/>
                <w:color w:val="auto"/>
                <w:sz w:val="30"/>
                <w:szCs w:val="30"/>
                <w:lang w:eastAsia="ar-SA"/>
              </w:rPr>
              <w:t>；最终</w:t>
            </w:r>
            <w:r>
              <w:rPr>
                <w:rFonts w:hint="eastAsia" w:ascii="仿宋" w:hAnsi="仿宋" w:eastAsia="仿宋" w:cs="仿宋"/>
                <w:color w:val="auto"/>
                <w:sz w:val="30"/>
                <w:szCs w:val="30"/>
              </w:rPr>
              <w:t>报价</w:t>
            </w:r>
            <w:r>
              <w:rPr>
                <w:rFonts w:hint="eastAsia" w:ascii="仿宋" w:hAnsi="仿宋" w:eastAsia="仿宋" w:cs="仿宋"/>
                <w:color w:val="auto"/>
                <w:sz w:val="30"/>
                <w:szCs w:val="30"/>
                <w:lang w:eastAsia="ar-SA"/>
              </w:rPr>
              <w:t>每低于基准</w:t>
            </w:r>
            <w:r>
              <w:rPr>
                <w:rFonts w:ascii="仿宋" w:hAnsi="仿宋" w:eastAsia="仿宋" w:cs="仿宋"/>
                <w:color w:val="auto"/>
                <w:sz w:val="30"/>
                <w:szCs w:val="30"/>
                <w:lang w:eastAsia="ar-SA"/>
              </w:rPr>
              <w:t>1%时</w:t>
            </w:r>
            <w:r>
              <w:rPr>
                <w:rFonts w:hint="eastAsia" w:ascii="仿宋" w:hAnsi="仿宋" w:eastAsia="仿宋" w:cs="仿宋"/>
                <w:color w:val="auto"/>
                <w:sz w:val="30"/>
                <w:szCs w:val="30"/>
              </w:rPr>
              <w:t>加</w:t>
            </w:r>
            <w:r>
              <w:rPr>
                <w:rFonts w:ascii="仿宋" w:hAnsi="仿宋" w:eastAsia="仿宋" w:cs="仿宋"/>
                <w:color w:val="auto"/>
                <w:sz w:val="30"/>
                <w:szCs w:val="30"/>
              </w:rPr>
              <w:t>0.2</w:t>
            </w:r>
            <w:r>
              <w:rPr>
                <w:rFonts w:hint="eastAsia" w:ascii="仿宋" w:hAnsi="仿宋" w:eastAsia="仿宋" w:cs="仿宋"/>
                <w:color w:val="auto"/>
                <w:sz w:val="30"/>
                <w:szCs w:val="30"/>
                <w:lang w:eastAsia="ar-SA"/>
              </w:rPr>
              <w:t>分，</w:t>
            </w:r>
            <w:r>
              <w:rPr>
                <w:rFonts w:hint="eastAsia" w:ascii="仿宋" w:hAnsi="仿宋" w:eastAsia="仿宋" w:cs="仿宋"/>
                <w:color w:val="auto"/>
                <w:sz w:val="30"/>
                <w:szCs w:val="30"/>
              </w:rPr>
              <w:t>最多加</w:t>
            </w:r>
            <w:r>
              <w:rPr>
                <w:rFonts w:ascii="仿宋" w:hAnsi="仿宋" w:eastAsia="仿宋" w:cs="仿宋"/>
                <w:color w:val="auto"/>
                <w:sz w:val="30"/>
                <w:szCs w:val="30"/>
              </w:rPr>
              <w:t>20分</w:t>
            </w:r>
            <w:r>
              <w:rPr>
                <w:rFonts w:hint="eastAsia" w:ascii="仿宋" w:hAnsi="仿宋" w:eastAsia="仿宋" w:cs="仿宋"/>
                <w:color w:val="auto"/>
                <w:sz w:val="30"/>
                <w:szCs w:val="30"/>
                <w:lang w:eastAsia="ar-SA"/>
              </w:rPr>
              <w:t>；</w:t>
            </w:r>
          </w:p>
        </w:tc>
      </w:tr>
    </w:tbl>
    <w:p w14:paraId="7AE9A826">
      <w:pPr>
        <w:pStyle w:val="2"/>
        <w:widowControl/>
        <w:numPr>
          <w:ilvl w:val="0"/>
          <w:numId w:val="0"/>
        </w:numPr>
        <w:ind w:firstLine="640" w:firstLineChars="0"/>
        <w:rPr>
          <w:rFonts w:ascii="仿宋" w:hAnsi="仿宋" w:eastAsia="仿宋" w:cs="仿宋"/>
        </w:rPr>
      </w:pPr>
      <w:r>
        <w:rPr>
          <w:rFonts w:hint="eastAsia" w:ascii="仿宋" w:hAnsi="仿宋" w:eastAsia="仿宋" w:cs="仿宋"/>
        </w:rPr>
        <w:t>六、评估程序</w:t>
      </w:r>
    </w:p>
    <w:p w14:paraId="12E6D2C9">
      <w:pPr>
        <w:pStyle w:val="3"/>
        <w:widowControl/>
        <w:ind w:left="640" w:firstLine="0" w:firstLineChars="0"/>
        <w:rPr>
          <w:rFonts w:ascii="仿宋" w:hAnsi="仿宋" w:eastAsia="仿宋" w:cs="仿宋"/>
        </w:rPr>
      </w:pPr>
      <w:r>
        <w:rPr>
          <w:rFonts w:hint="eastAsia" w:ascii="仿宋" w:hAnsi="仿宋" w:eastAsia="仿宋" w:cs="仿宋"/>
        </w:rPr>
        <w:t>1、初步评审（包括资格审查）</w:t>
      </w:r>
    </w:p>
    <w:p w14:paraId="3D408D20">
      <w:pPr>
        <w:pStyle w:val="12"/>
        <w:widowControl/>
        <w:numPr>
          <w:ilvl w:val="0"/>
          <w:numId w:val="3"/>
        </w:numPr>
        <w:ind w:firstLineChars="0"/>
        <w:rPr>
          <w:rFonts w:ascii="仿宋" w:hAnsi="仿宋" w:eastAsia="仿宋" w:cs="仿宋"/>
        </w:rPr>
      </w:pPr>
      <w:r>
        <w:rPr>
          <w:rFonts w:hint="eastAsia" w:ascii="仿宋" w:hAnsi="仿宋" w:eastAsia="仿宋" w:cs="仿宋"/>
        </w:rPr>
        <w:t>评审委员会在纪委监督下进行，依据询价函规定的标准对报价文件进行初步评审（包括资格审查）。有一项不符合评审标准的，将拒绝其报价。</w:t>
      </w:r>
    </w:p>
    <w:p w14:paraId="616F1AEE">
      <w:pPr>
        <w:pStyle w:val="12"/>
        <w:widowControl/>
        <w:numPr>
          <w:ilvl w:val="0"/>
          <w:numId w:val="3"/>
        </w:numPr>
        <w:ind w:firstLineChars="0"/>
        <w:rPr>
          <w:rFonts w:ascii="仿宋" w:hAnsi="仿宋" w:eastAsia="仿宋" w:cs="仿宋"/>
        </w:rPr>
      </w:pPr>
      <w:r>
        <w:rPr>
          <w:rFonts w:hint="eastAsia" w:ascii="仿宋" w:hAnsi="仿宋" w:eastAsia="仿宋" w:cs="仿宋"/>
        </w:rPr>
        <w:t>报价单位有以下情形之一的（可以否决报价的其他情形），将拒绝其报价：</w:t>
      </w:r>
    </w:p>
    <w:p w14:paraId="0B8FEE87">
      <w:pPr>
        <w:pStyle w:val="12"/>
        <w:widowControl/>
        <w:numPr>
          <w:ilvl w:val="0"/>
          <w:numId w:val="4"/>
        </w:numPr>
        <w:ind w:firstLineChars="0"/>
        <w:rPr>
          <w:rFonts w:ascii="仿宋" w:hAnsi="仿宋" w:eastAsia="仿宋" w:cs="仿宋"/>
        </w:rPr>
      </w:pPr>
      <w:r>
        <w:rPr>
          <w:rFonts w:hint="eastAsia" w:ascii="仿宋" w:hAnsi="仿宋" w:eastAsia="仿宋" w:cs="仿宋"/>
        </w:rPr>
        <w:t>串通报价或弄虚作假或有其他违法行为的；</w:t>
      </w:r>
    </w:p>
    <w:p w14:paraId="18866A4B">
      <w:pPr>
        <w:pStyle w:val="12"/>
        <w:widowControl/>
        <w:numPr>
          <w:ilvl w:val="0"/>
          <w:numId w:val="4"/>
        </w:numPr>
        <w:ind w:firstLineChars="0"/>
        <w:rPr>
          <w:rFonts w:ascii="仿宋" w:hAnsi="仿宋" w:eastAsia="仿宋" w:cs="仿宋"/>
        </w:rPr>
      </w:pPr>
      <w:r>
        <w:rPr>
          <w:rFonts w:hint="eastAsia" w:ascii="仿宋" w:hAnsi="仿宋" w:eastAsia="仿宋" w:cs="仿宋"/>
        </w:rPr>
        <w:t>不按评审委员会要求澄清、说明或补正的。</w:t>
      </w:r>
    </w:p>
    <w:p w14:paraId="57CD3061">
      <w:pPr>
        <w:pStyle w:val="3"/>
        <w:widowControl/>
        <w:rPr>
          <w:rFonts w:ascii="仿宋" w:hAnsi="仿宋" w:eastAsia="仿宋" w:cs="仿宋"/>
        </w:rPr>
      </w:pPr>
      <w:r>
        <w:rPr>
          <w:rFonts w:hint="eastAsia" w:ascii="仿宋" w:hAnsi="仿宋" w:eastAsia="仿宋" w:cs="仿宋"/>
        </w:rPr>
        <w:t>2、详细评审和澄清和补正</w:t>
      </w:r>
    </w:p>
    <w:p w14:paraId="2D70A96E">
      <w:pPr>
        <w:pStyle w:val="12"/>
        <w:widowControl/>
        <w:numPr>
          <w:ilvl w:val="0"/>
          <w:numId w:val="5"/>
        </w:numPr>
        <w:ind w:firstLineChars="0"/>
        <w:rPr>
          <w:rFonts w:ascii="仿宋" w:hAnsi="仿宋" w:eastAsia="仿宋" w:cs="仿宋"/>
        </w:rPr>
      </w:pPr>
      <w:r>
        <w:rPr>
          <w:rFonts w:hint="eastAsia" w:ascii="仿宋" w:hAnsi="仿宋" w:eastAsia="仿宋" w:cs="仿宋"/>
        </w:rPr>
        <w:t>评审委员会按各评分因素进行综合评分。</w:t>
      </w:r>
    </w:p>
    <w:p w14:paraId="44ADFE5B">
      <w:pPr>
        <w:pStyle w:val="12"/>
        <w:widowControl/>
        <w:numPr>
          <w:ilvl w:val="0"/>
          <w:numId w:val="5"/>
        </w:numPr>
        <w:ind w:firstLineChars="0"/>
        <w:rPr>
          <w:rFonts w:ascii="仿宋" w:hAnsi="仿宋" w:eastAsia="仿宋" w:cs="仿宋"/>
        </w:rPr>
      </w:pPr>
      <w:r>
        <w:rPr>
          <w:rFonts w:hint="eastAsia" w:ascii="仿宋" w:hAnsi="仿宋" w:eastAsia="仿宋" w:cs="仿宋"/>
        </w:rPr>
        <w:t>在评审过程中，评审委员会可以电话形式要求报价单位对所提交的报价文件中不明确的内容进行澄清或说明，或者对细微偏差进行补正。评审委员会不接受报价单位主动提出的澄清、说明或补正。</w:t>
      </w:r>
    </w:p>
    <w:p w14:paraId="60A86C85">
      <w:pPr>
        <w:pStyle w:val="12"/>
        <w:widowControl/>
        <w:numPr>
          <w:ilvl w:val="0"/>
          <w:numId w:val="5"/>
        </w:numPr>
        <w:ind w:firstLineChars="0"/>
        <w:rPr>
          <w:rFonts w:ascii="仿宋" w:hAnsi="仿宋" w:eastAsia="仿宋" w:cs="仿宋"/>
        </w:rPr>
      </w:pPr>
      <w:r>
        <w:rPr>
          <w:rFonts w:hint="eastAsia" w:ascii="仿宋" w:hAnsi="仿宋" w:eastAsia="仿宋" w:cs="仿宋"/>
        </w:rPr>
        <w:t>澄清、说明和补正不得改变报价文件的实质性内容（算术性错误修正的除外）。报价单位的书面澄清、说明和补正属于报价文件的组成部分。</w:t>
      </w:r>
    </w:p>
    <w:p w14:paraId="07EBFE3C">
      <w:pPr>
        <w:pStyle w:val="12"/>
        <w:widowControl/>
        <w:numPr>
          <w:ilvl w:val="0"/>
          <w:numId w:val="5"/>
        </w:numPr>
        <w:ind w:firstLineChars="0"/>
        <w:rPr>
          <w:rFonts w:ascii="仿宋" w:hAnsi="仿宋" w:eastAsia="仿宋" w:cs="仿宋"/>
        </w:rPr>
      </w:pPr>
      <w:r>
        <w:rPr>
          <w:rFonts w:hint="eastAsia" w:ascii="仿宋" w:hAnsi="仿宋" w:eastAsia="仿宋" w:cs="仿宋"/>
        </w:rPr>
        <w:t>评审委员会对报价单位提交的澄清、说明或补正有疑问的，可以要求报价单位进一步澄清、说明或补正，直至满足评审委员会的要求。</w:t>
      </w:r>
    </w:p>
    <w:p w14:paraId="4BCBED97">
      <w:pPr>
        <w:pStyle w:val="3"/>
        <w:widowControl/>
        <w:rPr>
          <w:rFonts w:ascii="仿宋" w:hAnsi="仿宋" w:eastAsia="仿宋" w:cs="仿宋"/>
        </w:rPr>
      </w:pPr>
      <w:r>
        <w:rPr>
          <w:rFonts w:hint="eastAsia" w:ascii="仿宋" w:hAnsi="仿宋" w:eastAsia="仿宋" w:cs="仿宋"/>
        </w:rPr>
        <w:t>3、评审结果</w:t>
      </w:r>
    </w:p>
    <w:p w14:paraId="16E5DEF1">
      <w:pPr>
        <w:pStyle w:val="12"/>
        <w:widowControl/>
        <w:numPr>
          <w:ilvl w:val="0"/>
          <w:numId w:val="6"/>
        </w:numPr>
        <w:ind w:firstLineChars="0"/>
        <w:rPr>
          <w:rFonts w:ascii="仿宋" w:hAnsi="仿宋" w:eastAsia="仿宋" w:cs="仿宋"/>
        </w:rPr>
      </w:pPr>
      <w:r>
        <w:rPr>
          <w:rFonts w:hint="eastAsia" w:ascii="仿宋" w:hAnsi="仿宋" w:eastAsia="仿宋" w:cs="仿宋"/>
        </w:rPr>
        <w:t>评审委员会按各报价单位最终综合得分由高到低顺序推荐中选候选人。</w:t>
      </w:r>
    </w:p>
    <w:p w14:paraId="7C324DC9">
      <w:pPr>
        <w:pStyle w:val="12"/>
        <w:widowControl/>
        <w:numPr>
          <w:ilvl w:val="0"/>
          <w:numId w:val="6"/>
        </w:numPr>
        <w:ind w:firstLineChars="0"/>
        <w:rPr>
          <w:rFonts w:ascii="仿宋" w:hAnsi="仿宋" w:eastAsia="仿宋" w:cs="仿宋"/>
        </w:rPr>
      </w:pPr>
      <w:r>
        <w:rPr>
          <w:rFonts w:hint="eastAsia" w:ascii="仿宋" w:hAnsi="仿宋" w:eastAsia="仿宋" w:cs="仿宋"/>
        </w:rPr>
        <w:t>询价人根据评审委员会推荐的中选候选人名单，确定中选单位。</w:t>
      </w:r>
    </w:p>
    <w:p w14:paraId="5DAF58CC">
      <w:pPr>
        <w:pStyle w:val="3"/>
        <w:widowControl/>
        <w:ind w:firstLine="652"/>
        <w:rPr>
          <w:rFonts w:ascii="仿宋" w:hAnsi="仿宋" w:eastAsia="仿宋" w:cs="仿宋"/>
          <w:spacing w:val="-4"/>
          <w:sz w:val="24"/>
          <w:szCs w:val="30"/>
        </w:rPr>
      </w:pPr>
      <w:r>
        <w:rPr>
          <w:rFonts w:hint="eastAsia" w:ascii="仿宋" w:hAnsi="仿宋" w:eastAsia="仿宋" w:cs="仿宋"/>
          <w:spacing w:val="10"/>
        </w:rPr>
        <w:t>4、</w:t>
      </w:r>
      <w:r>
        <w:rPr>
          <w:rFonts w:hint="eastAsia" w:ascii="仿宋" w:hAnsi="仿宋" w:eastAsia="仿宋" w:cs="仿宋"/>
          <w:spacing w:val="8"/>
        </w:rPr>
        <w:t>评审过程中如遇其他特殊情况由评审委员会集体研</w:t>
      </w:r>
      <w:r>
        <w:rPr>
          <w:rFonts w:hint="eastAsia" w:ascii="仿宋" w:hAnsi="仿宋" w:eastAsia="仿宋" w:cs="仿宋"/>
          <w:spacing w:val="-2"/>
        </w:rPr>
        <w:t>究</w:t>
      </w:r>
      <w:r>
        <w:rPr>
          <w:rFonts w:hint="eastAsia" w:ascii="仿宋" w:hAnsi="仿宋" w:eastAsia="仿宋" w:cs="仿宋"/>
        </w:rPr>
        <w:t>确定。</w:t>
      </w:r>
    </w:p>
    <w:p w14:paraId="7111B97F">
      <w:pPr>
        <w:pStyle w:val="12"/>
        <w:widowControl/>
        <w:rPr>
          <w:rFonts w:ascii="仿宋" w:hAnsi="仿宋" w:eastAsia="仿宋" w:cs="仿宋"/>
        </w:rPr>
      </w:pPr>
      <w:r>
        <w:rPr>
          <w:rFonts w:hint="eastAsia" w:ascii="仿宋" w:hAnsi="仿宋" w:eastAsia="仿宋" w:cs="仿宋"/>
        </w:rPr>
        <w:t>报价有效期：从报价截止时间起</w:t>
      </w:r>
      <w:r>
        <w:rPr>
          <w:rFonts w:ascii="仿宋" w:hAnsi="仿宋" w:eastAsia="仿宋" w:cs="仿宋"/>
        </w:rPr>
        <w:t>30</w:t>
      </w:r>
      <w:r>
        <w:rPr>
          <w:rFonts w:hint="eastAsia" w:ascii="仿宋" w:hAnsi="仿宋" w:eastAsia="仿宋" w:cs="仿宋"/>
        </w:rPr>
        <w:t>天内有效。</w:t>
      </w:r>
    </w:p>
    <w:p w14:paraId="4496E102">
      <w:pPr>
        <w:pStyle w:val="2"/>
        <w:widowControl/>
        <w:numPr>
          <w:ilvl w:val="0"/>
          <w:numId w:val="0"/>
        </w:numPr>
        <w:ind w:firstLine="640" w:firstLineChars="0"/>
        <w:rPr>
          <w:rFonts w:ascii="仿宋" w:hAnsi="仿宋" w:eastAsia="仿宋" w:cs="仿宋"/>
        </w:rPr>
      </w:pPr>
      <w:r>
        <w:rPr>
          <w:rFonts w:hint="eastAsia" w:ascii="仿宋" w:hAnsi="仿宋" w:eastAsia="仿宋" w:cs="仿宋"/>
        </w:rPr>
        <w:t>七、</w:t>
      </w:r>
      <w:r>
        <w:rPr>
          <w:rFonts w:hint="eastAsia" w:ascii="仿宋" w:hAnsi="仿宋" w:eastAsia="仿宋" w:cs="仿宋"/>
          <w:highlight w:val="none"/>
        </w:rPr>
        <w:t>报价文件的编制与递交</w:t>
      </w:r>
    </w:p>
    <w:p w14:paraId="1BEEA9CA">
      <w:pPr>
        <w:pStyle w:val="12"/>
        <w:widowControl/>
        <w:numPr>
          <w:ilvl w:val="0"/>
          <w:numId w:val="7"/>
        </w:numPr>
        <w:ind w:firstLineChars="0"/>
        <w:rPr>
          <w:rFonts w:ascii="仿宋" w:hAnsi="仿宋" w:eastAsia="仿宋" w:cs="仿宋"/>
        </w:rPr>
      </w:pPr>
      <w:r>
        <w:rPr>
          <w:rFonts w:hint="eastAsia" w:ascii="仿宋" w:hAnsi="仿宋" w:eastAsia="仿宋" w:cs="仿宋"/>
        </w:rPr>
        <w:t>报价文件的组成应包括（无格式的可自拟）：</w:t>
      </w:r>
    </w:p>
    <w:p w14:paraId="3AFE58F3">
      <w:pPr>
        <w:pStyle w:val="12"/>
        <w:widowControl/>
        <w:numPr>
          <w:ilvl w:val="0"/>
          <w:numId w:val="8"/>
        </w:numPr>
        <w:ind w:firstLineChars="0"/>
        <w:rPr>
          <w:rFonts w:ascii="仿宋" w:hAnsi="仿宋" w:eastAsia="仿宋" w:cs="仿宋"/>
        </w:rPr>
      </w:pPr>
      <w:r>
        <w:rPr>
          <w:rFonts w:hint="eastAsia" w:ascii="仿宋" w:hAnsi="仿宋" w:eastAsia="仿宋" w:cs="仿宋"/>
        </w:rPr>
        <w:t>企业资格文件：</w:t>
      </w:r>
    </w:p>
    <w:p w14:paraId="169A0AE8">
      <w:pPr>
        <w:pStyle w:val="12"/>
        <w:widowControl/>
        <w:ind w:firstLine="634"/>
        <w:rPr>
          <w:rFonts w:ascii="仿宋" w:hAnsi="仿宋" w:eastAsia="仿宋" w:cs="仿宋"/>
        </w:rPr>
      </w:pPr>
      <w:r>
        <w:rPr>
          <w:rFonts w:hint="eastAsia" w:ascii="仿宋" w:hAnsi="仿宋" w:eastAsia="仿宋" w:cs="仿宋"/>
          <w:b/>
        </w:rPr>
        <w:t>企业营业执照副本</w:t>
      </w:r>
      <w:r>
        <w:rPr>
          <w:rFonts w:ascii="仿宋" w:hAnsi="仿宋" w:eastAsia="仿宋" w:cs="仿宋"/>
        </w:rPr>
        <w:t xml:space="preserve"> </w:t>
      </w:r>
    </w:p>
    <w:p w14:paraId="569C4131">
      <w:pPr>
        <w:pStyle w:val="12"/>
        <w:widowControl/>
        <w:ind w:firstLine="634"/>
        <w:rPr>
          <w:rFonts w:ascii="仿宋" w:hAnsi="仿宋" w:eastAsia="仿宋" w:cs="仿宋"/>
        </w:rPr>
      </w:pPr>
      <w:r>
        <w:rPr>
          <w:rFonts w:hint="eastAsia" w:ascii="仿宋" w:hAnsi="仿宋" w:eastAsia="仿宋" w:cs="仿宋"/>
          <w:b/>
        </w:rPr>
        <w:t>企业近</w:t>
      </w:r>
      <w:r>
        <w:rPr>
          <w:rFonts w:ascii="仿宋" w:hAnsi="仿宋" w:eastAsia="仿宋" w:cs="仿宋"/>
        </w:rPr>
        <w:t>5</w:t>
      </w:r>
      <w:r>
        <w:rPr>
          <w:rFonts w:hint="eastAsia" w:ascii="仿宋" w:hAnsi="仿宋" w:eastAsia="仿宋" w:cs="仿宋"/>
          <w:b/>
        </w:rPr>
        <w:t>年类似项目业绩证明</w:t>
      </w:r>
    </w:p>
    <w:p w14:paraId="209F6FCF">
      <w:pPr>
        <w:pStyle w:val="12"/>
        <w:widowControl/>
        <w:numPr>
          <w:ilvl w:val="0"/>
          <w:numId w:val="8"/>
        </w:numPr>
        <w:ind w:firstLineChars="0"/>
        <w:rPr>
          <w:rFonts w:ascii="仿宋" w:hAnsi="仿宋" w:eastAsia="仿宋" w:cs="仿宋"/>
        </w:rPr>
      </w:pPr>
      <w:r>
        <w:rPr>
          <w:rFonts w:hint="eastAsia" w:ascii="仿宋" w:hAnsi="仿宋" w:eastAsia="仿宋" w:cs="仿宋"/>
        </w:rPr>
        <w:t>报价函（格式见附件）（报价为含税价）</w:t>
      </w:r>
    </w:p>
    <w:p w14:paraId="4168C5CA">
      <w:pPr>
        <w:pStyle w:val="12"/>
        <w:widowControl/>
        <w:numPr>
          <w:ilvl w:val="0"/>
          <w:numId w:val="8"/>
        </w:numPr>
        <w:ind w:firstLineChars="0"/>
        <w:rPr>
          <w:rFonts w:ascii="仿宋" w:hAnsi="仿宋" w:eastAsia="仿宋" w:cs="仿宋"/>
        </w:rPr>
      </w:pPr>
      <w:r>
        <w:rPr>
          <w:rFonts w:hint="eastAsia" w:ascii="仿宋" w:hAnsi="仿宋" w:eastAsia="仿宋" w:cs="仿宋"/>
        </w:rPr>
        <w:t>造价人员简历表，附造价证书、社保证明及相关业绩证明（提供造价合同）</w:t>
      </w:r>
    </w:p>
    <w:p w14:paraId="0E0D1B0D">
      <w:pPr>
        <w:pStyle w:val="12"/>
        <w:widowControl/>
        <w:numPr>
          <w:ilvl w:val="0"/>
          <w:numId w:val="8"/>
        </w:numPr>
        <w:ind w:firstLineChars="0"/>
        <w:rPr>
          <w:rFonts w:ascii="仿宋" w:hAnsi="仿宋" w:eastAsia="仿宋" w:cs="仿宋"/>
        </w:rPr>
      </w:pPr>
      <w:r>
        <w:rPr>
          <w:rFonts w:hint="eastAsia" w:ascii="仿宋" w:hAnsi="仿宋" w:eastAsia="仿宋" w:cs="仿宋"/>
        </w:rPr>
        <w:t>拟派驻项目造价机构人员明细及证书复印件</w:t>
      </w:r>
    </w:p>
    <w:p w14:paraId="45EB6D43">
      <w:pPr>
        <w:pStyle w:val="12"/>
        <w:widowControl/>
        <w:numPr>
          <w:ilvl w:val="0"/>
          <w:numId w:val="7"/>
        </w:numPr>
        <w:ind w:firstLineChars="0"/>
        <w:rPr>
          <w:rFonts w:ascii="仿宋" w:hAnsi="仿宋" w:eastAsia="仿宋" w:cs="仿宋"/>
        </w:rPr>
      </w:pPr>
      <w:r>
        <w:rPr>
          <w:rFonts w:hint="eastAsia" w:ascii="仿宋" w:hAnsi="仿宋" w:eastAsia="仿宋" w:cs="仿宋"/>
          <w:spacing w:val="28"/>
        </w:rPr>
        <w:t>报价文件签章要求</w:t>
      </w:r>
      <w:r>
        <w:rPr>
          <w:rFonts w:hint="eastAsia" w:ascii="仿宋" w:hAnsi="仿宋" w:eastAsia="仿宋" w:cs="仿宋"/>
          <w:spacing w:val="31"/>
        </w:rPr>
        <w:t>：</w:t>
      </w:r>
      <w:r>
        <w:rPr>
          <w:rFonts w:hint="eastAsia" w:ascii="仿宋" w:hAnsi="仿宋" w:eastAsia="仿宋" w:cs="仿宋"/>
          <w:spacing w:val="28"/>
        </w:rPr>
        <w:t>加盖公司章</w:t>
      </w:r>
      <w:r>
        <w:rPr>
          <w:rFonts w:hint="eastAsia" w:ascii="仿宋" w:hAnsi="仿宋" w:eastAsia="仿宋" w:cs="仿宋"/>
          <w:spacing w:val="31"/>
        </w:rPr>
        <w:t>，</w:t>
      </w:r>
      <w:r>
        <w:rPr>
          <w:rFonts w:hint="eastAsia" w:ascii="仿宋" w:hAnsi="仿宋" w:eastAsia="仿宋" w:cs="仿宋"/>
          <w:spacing w:val="28"/>
        </w:rPr>
        <w:t>不得用合同</w:t>
      </w:r>
      <w:r>
        <w:rPr>
          <w:rFonts w:hint="eastAsia" w:ascii="仿宋" w:hAnsi="仿宋" w:eastAsia="仿宋" w:cs="仿宋"/>
          <w:spacing w:val="-2"/>
        </w:rPr>
        <w:t>章</w:t>
      </w:r>
      <w:r>
        <w:rPr>
          <w:rFonts w:hint="eastAsia" w:ascii="仿宋" w:hAnsi="仿宋" w:eastAsia="仿宋" w:cs="仿宋"/>
        </w:rPr>
        <w:t>代替。</w:t>
      </w:r>
    </w:p>
    <w:p w14:paraId="66B0AF58">
      <w:pPr>
        <w:pStyle w:val="12"/>
        <w:widowControl/>
        <w:numPr>
          <w:ilvl w:val="0"/>
          <w:numId w:val="7"/>
        </w:numPr>
        <w:ind w:firstLineChars="0"/>
        <w:rPr>
          <w:rFonts w:ascii="仿宋" w:hAnsi="仿宋" w:eastAsia="仿宋" w:cs="仿宋"/>
        </w:rPr>
      </w:pPr>
      <w:r>
        <w:rPr>
          <w:rFonts w:hint="eastAsia" w:ascii="仿宋" w:hAnsi="仿宋" w:eastAsia="仿宋" w:cs="仿宋"/>
        </w:rPr>
        <w:t>报价文件递交：</w:t>
      </w:r>
    </w:p>
    <w:p w14:paraId="12CDAE58">
      <w:pPr>
        <w:overflowPunct/>
        <w:topLinePunct w:val="0"/>
        <w:spacing w:line="560" w:lineRule="exact"/>
        <w:ind w:firstLine="632" w:firstLineChars="200"/>
        <w:jc w:val="left"/>
        <w:rPr>
          <w:rFonts w:ascii="仿宋" w:hAnsi="仿宋" w:eastAsia="仿宋" w:cs="仿宋"/>
        </w:rPr>
      </w:pPr>
      <w:r>
        <w:rPr>
          <w:rFonts w:ascii="仿宋" w:hAnsi="仿宋" w:eastAsia="仿宋" w:cs="仿宋"/>
        </w:rPr>
        <w:t>1.报名方式：</w:t>
      </w:r>
    </w:p>
    <w:p w14:paraId="41063027">
      <w:pPr>
        <w:overflowPunct/>
        <w:topLinePunct w:val="0"/>
        <w:spacing w:line="560" w:lineRule="exact"/>
        <w:ind w:firstLine="632" w:firstLineChars="200"/>
        <w:jc w:val="left"/>
        <w:rPr>
          <w:rFonts w:ascii="仿宋" w:hAnsi="仿宋" w:eastAsia="仿宋" w:cs="仿宋"/>
        </w:rPr>
      </w:pPr>
      <w:r>
        <w:rPr>
          <w:rFonts w:hint="eastAsia" w:ascii="仿宋" w:hAnsi="仿宋" w:eastAsia="仿宋" w:cs="仿宋"/>
        </w:rPr>
        <w:t>（</w:t>
      </w:r>
      <w:r>
        <w:rPr>
          <w:rFonts w:ascii="仿宋" w:hAnsi="仿宋" w:eastAsia="仿宋" w:cs="仿宋"/>
        </w:rPr>
        <w:t>1）通过扫码方式或输入网址填报</w:t>
      </w:r>
    </w:p>
    <w:p w14:paraId="5B6AA7F2">
      <w:pPr>
        <w:overflowPunct/>
        <w:topLinePunct w:val="0"/>
        <w:spacing w:line="560" w:lineRule="exact"/>
        <w:ind w:firstLine="632" w:firstLineChars="200"/>
        <w:jc w:val="left"/>
        <w:rPr>
          <w:rFonts w:ascii="仿宋" w:hAnsi="仿宋" w:eastAsia="仿宋" w:cs="仿宋"/>
        </w:rPr>
      </w:pPr>
      <w:r>
        <w:rPr>
          <w:rFonts w:hint="eastAsia" w:ascii="仿宋" w:hAnsi="仿宋" w:eastAsia="仿宋" w:cs="仿宋"/>
        </w:rPr>
        <w:t>（</w:t>
      </w:r>
      <w:r>
        <w:rPr>
          <w:rFonts w:ascii="仿宋" w:hAnsi="仿宋" w:eastAsia="仿宋" w:cs="仿宋"/>
        </w:rPr>
        <w:t>2）登录密码：zlwl</w:t>
      </w:r>
    </w:p>
    <w:p w14:paraId="7C50CEAE">
      <w:pPr>
        <w:overflowPunct/>
        <w:topLinePunct w:val="0"/>
        <w:spacing w:line="560" w:lineRule="exact"/>
        <w:ind w:firstLine="632" w:firstLineChars="200"/>
        <w:jc w:val="left"/>
        <w:rPr>
          <w:rFonts w:ascii="仿宋" w:hAnsi="仿宋" w:eastAsia="仿宋" w:cs="仿宋"/>
        </w:rPr>
      </w:pPr>
      <w:r>
        <w:rPr>
          <w:rFonts w:ascii="仿宋" w:hAnsi="仿宋" w:eastAsia="仿宋" w:cs="仿宋"/>
        </w:rPr>
        <w:drawing>
          <wp:anchor distT="0" distB="0" distL="114300" distR="114300" simplePos="0" relativeHeight="251660288" behindDoc="1" locked="0" layoutInCell="1" allowOverlap="1">
            <wp:simplePos x="0" y="0"/>
            <wp:positionH relativeFrom="column">
              <wp:posOffset>1781810</wp:posOffset>
            </wp:positionH>
            <wp:positionV relativeFrom="paragraph">
              <wp:posOffset>104140</wp:posOffset>
            </wp:positionV>
            <wp:extent cx="1356995" cy="1356995"/>
            <wp:effectExtent l="0" t="0" r="14605" b="14605"/>
            <wp:wrapThrough wrapText="bothSides">
              <wp:wrapPolygon>
                <wp:start x="21592" y="-2"/>
                <wp:lineTo x="0" y="0"/>
                <wp:lineTo x="0" y="21600"/>
                <wp:lineTo x="21592" y="21602"/>
                <wp:lineTo x="8" y="21602"/>
                <wp:lineTo x="21600" y="21600"/>
                <wp:lineTo x="21600" y="0"/>
                <wp:lineTo x="8" y="-2"/>
                <wp:lineTo x="21592" y="-2"/>
              </wp:wrapPolygon>
            </wp:wrapThrough>
            <wp:docPr id="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pic:cNvPicPr>
                      <a:picLocks noChangeAspect="1"/>
                    </pic:cNvPicPr>
                  </pic:nvPicPr>
                  <pic:blipFill>
                    <a:blip r:embed="rId8"/>
                    <a:stretch>
                      <a:fillRect/>
                    </a:stretch>
                  </pic:blipFill>
                  <pic:spPr>
                    <a:xfrm>
                      <a:off x="0" y="0"/>
                      <a:ext cx="1356995" cy="1356995"/>
                    </a:xfrm>
                    <a:prstGeom prst="rect">
                      <a:avLst/>
                    </a:prstGeom>
                    <a:noFill/>
                    <a:ln>
                      <a:noFill/>
                    </a:ln>
                  </pic:spPr>
                </pic:pic>
              </a:graphicData>
            </a:graphic>
          </wp:anchor>
        </w:drawing>
      </w:r>
    </w:p>
    <w:p w14:paraId="03D77589">
      <w:pPr>
        <w:overflowPunct/>
        <w:topLinePunct w:val="0"/>
        <w:spacing w:line="560" w:lineRule="exact"/>
        <w:ind w:firstLine="632" w:firstLineChars="200"/>
        <w:jc w:val="left"/>
        <w:rPr>
          <w:rFonts w:ascii="仿宋" w:hAnsi="仿宋" w:eastAsia="仿宋" w:cs="仿宋"/>
        </w:rPr>
      </w:pPr>
    </w:p>
    <w:p w14:paraId="1AEE6CD7">
      <w:pPr>
        <w:overflowPunct/>
        <w:topLinePunct w:val="0"/>
        <w:spacing w:line="560" w:lineRule="exact"/>
        <w:ind w:firstLine="632" w:firstLineChars="200"/>
        <w:jc w:val="left"/>
        <w:rPr>
          <w:rFonts w:ascii="仿宋" w:hAnsi="仿宋" w:eastAsia="仿宋" w:cs="仿宋"/>
        </w:rPr>
      </w:pPr>
    </w:p>
    <w:p w14:paraId="1B6344FB">
      <w:pPr>
        <w:pStyle w:val="16"/>
        <w:overflowPunct/>
        <w:topLinePunct w:val="0"/>
        <w:adjustRightInd w:val="0"/>
        <w:snapToGrid w:val="0"/>
        <w:spacing w:before="0" w:beforeAutospacing="0" w:after="0" w:afterAutospacing="0" w:line="560" w:lineRule="exact"/>
        <w:ind w:firstLine="632" w:firstLineChars="200"/>
        <w:rPr>
          <w:rFonts w:ascii="仿宋" w:hAnsi="仿宋" w:eastAsia="仿宋" w:cs="仿宋"/>
          <w:sz w:val="32"/>
          <w:highlight w:val="yellow"/>
        </w:rPr>
      </w:pPr>
    </w:p>
    <w:p w14:paraId="610FD3CB">
      <w:pPr>
        <w:pStyle w:val="16"/>
        <w:overflowPunct/>
        <w:topLinePunct w:val="0"/>
        <w:adjustRightInd w:val="0"/>
        <w:snapToGrid w:val="0"/>
        <w:spacing w:before="0" w:beforeAutospacing="0" w:after="0" w:afterAutospacing="0" w:line="560" w:lineRule="exact"/>
        <w:rPr>
          <w:rFonts w:ascii="仿宋" w:hAnsi="仿宋" w:eastAsia="仿宋" w:cs="仿宋"/>
          <w:sz w:val="32"/>
          <w:highlight w:val="yellow"/>
        </w:rPr>
      </w:pPr>
    </w:p>
    <w:p w14:paraId="42DF020C">
      <w:pPr>
        <w:pStyle w:val="16"/>
        <w:overflowPunct/>
        <w:topLinePunct w:val="0"/>
        <w:adjustRightInd w:val="0"/>
        <w:snapToGrid w:val="0"/>
        <w:spacing w:before="0" w:beforeAutospacing="0" w:after="0" w:afterAutospacing="0" w:line="560" w:lineRule="exact"/>
        <w:ind w:firstLine="632" w:firstLineChars="200"/>
        <w:rPr>
          <w:rFonts w:hint="eastAsia" w:ascii="仿宋" w:hAnsi="仿宋" w:eastAsia="仿宋" w:cs="仿宋"/>
          <w:sz w:val="32"/>
          <w:highlight w:val="none"/>
        </w:rPr>
      </w:pPr>
      <w:bookmarkStart w:id="0" w:name="_GoBack"/>
      <w:r>
        <w:rPr>
          <w:rFonts w:hint="eastAsia" w:ascii="仿宋" w:hAnsi="仿宋" w:eastAsia="仿宋" w:cs="仿宋"/>
          <w:sz w:val="32"/>
          <w:highlight w:val="none"/>
        </w:rPr>
        <w:fldChar w:fldCharType="begin"/>
      </w:r>
      <w:r>
        <w:rPr>
          <w:rFonts w:hint="eastAsia" w:ascii="仿宋" w:hAnsi="仿宋" w:eastAsia="仿宋" w:cs="仿宋"/>
          <w:sz w:val="32"/>
          <w:highlight w:val="none"/>
        </w:rPr>
        <w:instrText xml:space="preserve"> HYPERLINK "https://s4q1js25yx.jiandaoyun.com/f/66cec8d193162f4863c36b76" </w:instrText>
      </w:r>
      <w:r>
        <w:rPr>
          <w:rFonts w:hint="eastAsia" w:ascii="仿宋" w:hAnsi="仿宋" w:eastAsia="仿宋" w:cs="仿宋"/>
          <w:sz w:val="32"/>
          <w:highlight w:val="none"/>
        </w:rPr>
        <w:fldChar w:fldCharType="separate"/>
      </w:r>
      <w:r>
        <w:rPr>
          <w:rStyle w:val="20"/>
          <w:rFonts w:hint="eastAsia" w:ascii="仿宋" w:hAnsi="仿宋" w:eastAsia="仿宋" w:cs="仿宋"/>
          <w:sz w:val="32"/>
          <w:highlight w:val="none"/>
        </w:rPr>
        <w:t>https://s4q1js25yx.jiandaoyun.com/f/66cec8d193162f4863c36b76</w:t>
      </w:r>
      <w:r>
        <w:rPr>
          <w:rFonts w:hint="eastAsia" w:ascii="仿宋" w:hAnsi="仿宋" w:eastAsia="仿宋" w:cs="仿宋"/>
          <w:sz w:val="32"/>
          <w:highlight w:val="none"/>
        </w:rPr>
        <w:fldChar w:fldCharType="end"/>
      </w:r>
    </w:p>
    <w:bookmarkEnd w:id="0"/>
    <w:p w14:paraId="17EFA155">
      <w:pPr>
        <w:pStyle w:val="16"/>
        <w:overflowPunct/>
        <w:topLinePunct w:val="0"/>
        <w:adjustRightInd w:val="0"/>
        <w:snapToGrid w:val="0"/>
        <w:spacing w:before="0" w:beforeAutospacing="0" w:after="0" w:afterAutospacing="0" w:line="560" w:lineRule="exact"/>
        <w:ind w:firstLine="632" w:firstLineChars="200"/>
        <w:rPr>
          <w:rFonts w:ascii="仿宋" w:hAnsi="仿宋" w:eastAsia="仿宋" w:cs="仿宋"/>
          <w:sz w:val="32"/>
        </w:rPr>
      </w:pPr>
      <w:r>
        <w:rPr>
          <w:rFonts w:hint="eastAsia" w:ascii="仿宋" w:hAnsi="仿宋" w:eastAsia="仿宋" w:cs="仿宋"/>
          <w:sz w:val="32"/>
        </w:rPr>
        <w:t>（</w:t>
      </w:r>
      <w:r>
        <w:rPr>
          <w:rFonts w:ascii="仿宋" w:hAnsi="仿宋" w:eastAsia="仿宋" w:cs="仿宋"/>
          <w:sz w:val="32"/>
        </w:rPr>
        <w:t>2）通过以下途径填报</w:t>
      </w:r>
    </w:p>
    <w:p w14:paraId="2DED58D7">
      <w:pPr>
        <w:pStyle w:val="16"/>
        <w:overflowPunct/>
        <w:topLinePunct w:val="0"/>
        <w:adjustRightInd w:val="0"/>
        <w:snapToGrid w:val="0"/>
        <w:spacing w:before="0" w:beforeAutospacing="0" w:after="0" w:afterAutospacing="0" w:line="560" w:lineRule="exact"/>
        <w:ind w:firstLine="632" w:firstLineChars="200"/>
        <w:rPr>
          <w:rFonts w:ascii="仿宋" w:hAnsi="仿宋" w:eastAsia="仿宋" w:cs="仿宋"/>
          <w:sz w:val="32"/>
        </w:rPr>
      </w:pPr>
      <w:r>
        <w:rPr>
          <w:rFonts w:hint="eastAsia" w:ascii="仿宋" w:hAnsi="仿宋" w:eastAsia="仿宋" w:cs="仿宋"/>
          <w:sz w:val="32"/>
        </w:rPr>
        <w:t>网址：</w:t>
      </w:r>
      <w:r>
        <w:rPr>
          <w:rFonts w:ascii="仿宋" w:hAnsi="仿宋" w:eastAsia="仿宋" w:cs="仿宋"/>
          <w:sz w:val="32"/>
        </w:rPr>
        <w:t>https://zlwl.chinalco.com.cn/gywm/gsjj/，登录网址依次点击业务领域—招标公告—西芒杜铁矿破碎加工（日照港）项目</w:t>
      </w:r>
      <w:r>
        <w:rPr>
          <w:rFonts w:hint="eastAsia" w:ascii="仿宋" w:hAnsi="仿宋" w:eastAsia="仿宋" w:cs="仿宋"/>
          <w:sz w:val="32"/>
        </w:rPr>
        <w:t>造价服务询价函—扫描二维码参与报名，登录密码：</w:t>
      </w:r>
      <w:r>
        <w:rPr>
          <w:rFonts w:ascii="仿宋" w:hAnsi="仿宋" w:eastAsia="仿宋" w:cs="仿宋"/>
          <w:sz w:val="32"/>
        </w:rPr>
        <w:t>zlwl。</w:t>
      </w:r>
    </w:p>
    <w:p w14:paraId="1BE75794">
      <w:pPr>
        <w:overflowPunct/>
        <w:topLinePunct w:val="0"/>
        <w:spacing w:line="560" w:lineRule="exact"/>
        <w:ind w:firstLine="632" w:firstLineChars="200"/>
        <w:jc w:val="left"/>
        <w:rPr>
          <w:rFonts w:ascii="仿宋" w:hAnsi="仿宋" w:eastAsia="仿宋" w:cs="仿宋"/>
          <w:kern w:val="0"/>
        </w:rPr>
      </w:pPr>
      <w:r>
        <w:rPr>
          <w:rFonts w:ascii="仿宋" w:hAnsi="仿宋" w:eastAsia="仿宋" w:cs="仿宋"/>
        </w:rPr>
        <w:t>2.报名时间：</w:t>
      </w:r>
      <w:r>
        <w:rPr>
          <w:rFonts w:ascii="仿宋" w:hAnsi="仿宋" w:eastAsia="仿宋" w:cs="仿宋"/>
          <w:kern w:val="0"/>
          <w:highlight w:val="none"/>
        </w:rPr>
        <w:t>2025年4月</w:t>
      </w:r>
      <w:r>
        <w:rPr>
          <w:rFonts w:hint="eastAsia" w:ascii="仿宋" w:hAnsi="仿宋" w:eastAsia="仿宋" w:cs="仿宋"/>
          <w:kern w:val="0"/>
          <w:highlight w:val="none"/>
          <w:lang w:val="en-US" w:eastAsia="zh-CN"/>
        </w:rPr>
        <w:t>11</w:t>
      </w:r>
      <w:r>
        <w:rPr>
          <w:rFonts w:hint="eastAsia" w:ascii="仿宋" w:hAnsi="仿宋" w:eastAsia="仿宋" w:cs="仿宋"/>
          <w:kern w:val="0"/>
          <w:highlight w:val="none"/>
        </w:rPr>
        <w:t>日上午</w:t>
      </w:r>
      <w:r>
        <w:rPr>
          <w:rFonts w:ascii="仿宋" w:hAnsi="仿宋" w:eastAsia="仿宋" w:cs="仿宋"/>
          <w:kern w:val="0"/>
          <w:highlight w:val="none"/>
        </w:rPr>
        <w:t>9点前</w:t>
      </w:r>
      <w:r>
        <w:rPr>
          <w:rFonts w:hint="eastAsia" w:ascii="仿宋" w:hAnsi="仿宋" w:eastAsia="仿宋" w:cs="仿宋"/>
          <w:kern w:val="0"/>
        </w:rPr>
        <w:t>。</w:t>
      </w:r>
    </w:p>
    <w:p w14:paraId="3482100E">
      <w:pPr>
        <w:overflowPunct/>
        <w:topLinePunct w:val="0"/>
        <w:spacing w:line="560" w:lineRule="exact"/>
        <w:ind w:firstLine="472" w:firstLineChars="200"/>
        <w:jc w:val="left"/>
        <w:rPr>
          <w:rFonts w:ascii="仿宋" w:hAnsi="仿宋" w:eastAsia="仿宋" w:cs="仿宋"/>
          <w:kern w:val="0"/>
        </w:rPr>
      </w:pPr>
      <w:r>
        <w:rPr>
          <w:rFonts w:hint="eastAsia" w:ascii="仿宋" w:hAnsi="仿宋" w:eastAsia="仿宋" w:cs="仿宋"/>
          <w:sz w:val="24"/>
          <w:szCs w:val="24"/>
        </w:rPr>
        <w:t>（备注：</w:t>
      </w:r>
      <w:r>
        <w:rPr>
          <w:rFonts w:ascii="仿宋" w:hAnsi="仿宋" w:eastAsia="仿宋" w:cs="仿宋"/>
          <w:sz w:val="24"/>
          <w:szCs w:val="24"/>
        </w:rPr>
        <w:t>1.报价文件请按上述顺序排列，并提供目录。2.将报价文件压缩后发送指定邮箱并命名为：西芒杜铁矿破碎加工（日照港）项目工程地质详勘、试桩及检测服务报价函—单位名称）</w:t>
      </w:r>
    </w:p>
    <w:p w14:paraId="09BA924D">
      <w:pPr>
        <w:overflowPunct/>
        <w:topLinePunct w:val="0"/>
        <w:spacing w:line="560" w:lineRule="exact"/>
        <w:ind w:firstLine="632" w:firstLineChars="200"/>
        <w:jc w:val="left"/>
        <w:rPr>
          <w:rFonts w:ascii="仿宋" w:hAnsi="仿宋" w:eastAsia="仿宋" w:cs="仿宋"/>
        </w:rPr>
      </w:pPr>
      <w:r>
        <w:rPr>
          <w:rFonts w:hint="eastAsia" w:ascii="仿宋" w:hAnsi="仿宋" w:eastAsia="仿宋" w:cs="仿宋"/>
        </w:rPr>
        <w:t>八、联系人</w:t>
      </w:r>
    </w:p>
    <w:p w14:paraId="2CCE1793">
      <w:pPr>
        <w:widowControl/>
        <w:shd w:val="clear" w:color="auto" w:fill="auto"/>
        <w:overflowPunct/>
        <w:topLinePunct w:val="0"/>
        <w:spacing w:line="560" w:lineRule="exact"/>
        <w:ind w:firstLine="632" w:firstLineChars="200"/>
        <w:jc w:val="left"/>
        <w:rPr>
          <w:rFonts w:ascii="仿宋" w:hAnsi="仿宋" w:eastAsia="仿宋" w:cs="仿宋"/>
          <w:color w:val="FF0000"/>
          <w:kern w:val="0"/>
        </w:rPr>
      </w:pPr>
      <w:r>
        <w:rPr>
          <w:rFonts w:hint="eastAsia" w:ascii="仿宋" w:hAnsi="仿宋" w:eastAsia="仿宋" w:cs="仿宋"/>
          <w:kern w:val="0"/>
        </w:rPr>
        <w:t>中铝物流集团有限公司项目建设指挥部</w:t>
      </w:r>
    </w:p>
    <w:p w14:paraId="6E72BBCE">
      <w:pPr>
        <w:widowControl/>
        <w:shd w:val="clear" w:color="auto" w:fill="auto"/>
        <w:overflowPunct/>
        <w:topLinePunct w:val="0"/>
        <w:spacing w:line="560" w:lineRule="exact"/>
        <w:ind w:firstLine="632" w:firstLineChars="200"/>
        <w:jc w:val="left"/>
        <w:rPr>
          <w:rFonts w:ascii="仿宋" w:hAnsi="仿宋" w:eastAsia="仿宋" w:cs="仿宋"/>
          <w:kern w:val="0"/>
        </w:rPr>
      </w:pPr>
      <w:r>
        <w:rPr>
          <w:rFonts w:hint="eastAsia" w:ascii="仿宋" w:hAnsi="仿宋" w:eastAsia="仿宋" w:cs="仿宋"/>
          <w:kern w:val="0"/>
        </w:rPr>
        <w:t>联系人:王胜超</w:t>
      </w:r>
    </w:p>
    <w:p w14:paraId="61262B32">
      <w:pPr>
        <w:widowControl/>
        <w:overflowPunct/>
        <w:topLinePunct w:val="0"/>
        <w:spacing w:line="560" w:lineRule="exact"/>
        <w:ind w:firstLine="632" w:firstLineChars="200"/>
        <w:jc w:val="left"/>
        <w:rPr>
          <w:rFonts w:ascii="仿宋" w:hAnsi="仿宋" w:eastAsia="仿宋" w:cs="仿宋"/>
          <w:sz w:val="24"/>
          <w:szCs w:val="30"/>
        </w:rPr>
        <w:sectPr>
          <w:headerReference r:id="rId3" w:type="default"/>
          <w:footerReference r:id="rId5" w:type="default"/>
          <w:headerReference r:id="rId4" w:type="even"/>
          <w:footerReference r:id="rId6" w:type="even"/>
          <w:pgSz w:w="11906" w:h="16839"/>
          <w:pgMar w:top="1587" w:right="1474" w:bottom="1474" w:left="1587" w:header="0" w:footer="0" w:gutter="0"/>
          <w:cols w:space="720" w:num="1"/>
          <w:docGrid w:type="linesAndChars" w:linePitch="592" w:charSpace="-842"/>
        </w:sectPr>
      </w:pPr>
      <w:r>
        <w:rPr>
          <w:rFonts w:hint="eastAsia" w:ascii="仿宋" w:hAnsi="仿宋" w:eastAsia="仿宋" w:cs="仿宋"/>
          <w:kern w:val="0"/>
        </w:rPr>
        <w:t>电话：13516339233</w:t>
      </w:r>
    </w:p>
    <w:p w14:paraId="17158505">
      <w:pPr>
        <w:spacing w:line="560" w:lineRule="exact"/>
        <w:ind w:firstLine="0" w:firstLineChars="0"/>
        <w:jc w:val="left"/>
        <w:rPr>
          <w:rFonts w:ascii="仿宋" w:hAnsi="仿宋_GB2312" w:eastAsia="仿宋" w:cs="仿宋_GB2312"/>
          <w:sz w:val="24"/>
          <w:szCs w:val="30"/>
        </w:rPr>
      </w:pPr>
      <w:r>
        <w:rPr>
          <w:rFonts w:hint="eastAsia" w:ascii="仿宋" w:hAnsi="仿宋_GB2312" w:eastAsia="仿宋" w:cs="仿宋_GB2312"/>
          <w:sz w:val="24"/>
          <w:szCs w:val="30"/>
        </w:rPr>
        <w:t>附件1：</w:t>
      </w:r>
    </w:p>
    <w:p w14:paraId="130A3FFC">
      <w:pPr>
        <w:spacing w:before="64" w:line="218" w:lineRule="auto"/>
        <w:jc w:val="center"/>
        <w:outlineLvl w:val="0"/>
        <w:rPr>
          <w:rFonts w:asciiTheme="majorEastAsia" w:hAnsiTheme="majorEastAsia" w:eastAsiaTheme="majorEastAsia" w:cstheme="majorEastAsia"/>
          <w:b/>
          <w:bCs/>
          <w:spacing w:val="-6"/>
        </w:rPr>
      </w:pPr>
      <w:r>
        <w:rPr>
          <w:rFonts w:hint="eastAsia" w:asciiTheme="majorEastAsia" w:hAnsiTheme="majorEastAsia" w:eastAsiaTheme="majorEastAsia" w:cstheme="majorEastAsia"/>
          <w:b/>
          <w:bCs/>
          <w:spacing w:val="-6"/>
        </w:rPr>
        <w:t>报  价  函</w:t>
      </w:r>
    </w:p>
    <w:p w14:paraId="5EDC92BA">
      <w:pPr>
        <w:spacing w:before="64" w:line="218" w:lineRule="auto"/>
        <w:outlineLvl w:val="0"/>
        <w:rPr>
          <w:rFonts w:ascii="仿宋" w:hAnsi="仿宋" w:eastAsia="仿宋" w:cs="仿宋"/>
          <w:spacing w:val="-6"/>
          <w:sz w:val="26"/>
          <w:szCs w:val="26"/>
        </w:rPr>
      </w:pPr>
      <w:r>
        <w:rPr>
          <w:rFonts w:hint="eastAsia" w:ascii="仿宋" w:hAnsi="仿宋" w:eastAsia="仿宋" w:cs="仿宋"/>
          <w:spacing w:val="-6"/>
          <w:sz w:val="26"/>
          <w:szCs w:val="26"/>
        </w:rPr>
        <w:t>（一）中铝物流集团有限公司:</w:t>
      </w:r>
    </w:p>
    <w:p w14:paraId="62E4BC4A">
      <w:pPr>
        <w:spacing w:before="64" w:line="218" w:lineRule="auto"/>
        <w:ind w:firstLine="488" w:firstLineChars="200"/>
        <w:outlineLvl w:val="0"/>
        <w:rPr>
          <w:rFonts w:hint="eastAsia" w:ascii="仿宋" w:hAnsi="仿宋" w:eastAsia="仿宋" w:cs="仿宋"/>
          <w:spacing w:val="-6"/>
          <w:sz w:val="26"/>
          <w:szCs w:val="26"/>
        </w:rPr>
      </w:pPr>
      <w:r>
        <w:rPr>
          <w:rFonts w:hint="eastAsia" w:ascii="仿宋" w:hAnsi="仿宋" w:eastAsia="仿宋" w:cs="仿宋"/>
          <w:spacing w:val="-6"/>
          <w:sz w:val="26"/>
          <w:szCs w:val="26"/>
        </w:rPr>
        <w:t>我方已仔细研究了【西芒杜铁矿破碎加工（日照港）项目项目造价服务】询价文件的全部内容，我公司报价如下：</w:t>
      </w:r>
    </w:p>
    <w:p w14:paraId="32C97BFB">
      <w:pPr>
        <w:spacing w:before="64" w:line="218" w:lineRule="auto"/>
        <w:ind w:firstLine="488" w:firstLineChars="200"/>
        <w:outlineLvl w:val="0"/>
        <w:rPr>
          <w:rFonts w:hint="default" w:ascii="仿宋" w:hAnsi="仿宋" w:eastAsia="仿宋" w:cs="仿宋"/>
          <w:spacing w:val="-6"/>
          <w:sz w:val="26"/>
          <w:szCs w:val="26"/>
          <w:lang w:val="en-US" w:eastAsia="zh-CN"/>
        </w:rPr>
      </w:pPr>
      <w:r>
        <w:rPr>
          <w:rFonts w:hint="eastAsia" w:ascii="仿宋" w:hAnsi="仿宋" w:eastAsia="仿宋" w:cs="仿宋"/>
          <w:spacing w:val="-6"/>
          <w:sz w:val="26"/>
          <w:szCs w:val="26"/>
          <w:lang w:val="en-US" w:eastAsia="zh-CN"/>
        </w:rPr>
        <w:t>总报价（含税）为：小写（大写）元。</w:t>
      </w:r>
    </w:p>
    <w:p w14:paraId="3592C2BA">
      <w:pPr>
        <w:pStyle w:val="12"/>
        <w:ind w:firstLine="500"/>
        <w:rPr>
          <w:rFonts w:ascii="仿宋" w:hAnsi="仿宋" w:eastAsia="仿宋" w:cs="仿宋"/>
          <w:spacing w:val="-6"/>
          <w:sz w:val="26"/>
          <w:szCs w:val="26"/>
        </w:rPr>
      </w:pPr>
      <w:r>
        <w:rPr>
          <w:rFonts w:hint="eastAsia" w:ascii="仿宋" w:hAnsi="仿宋" w:eastAsia="仿宋" w:cs="仿宋"/>
          <w:spacing w:val="-6"/>
          <w:sz w:val="26"/>
          <w:szCs w:val="26"/>
        </w:rPr>
        <w:t>说明：造价单位在项目所在地产生的食宿、交通、办公等费用由造价单位自理。</w:t>
      </w:r>
    </w:p>
    <w:p w14:paraId="7B82B6AC">
      <w:pPr>
        <w:overflowPunct/>
        <w:topLinePunct w:val="0"/>
        <w:adjustRightInd w:val="0"/>
        <w:snapToGrid w:val="0"/>
        <w:spacing w:line="560" w:lineRule="exact"/>
        <w:ind w:firstLine="488" w:firstLineChars="200"/>
        <w:rPr>
          <w:rFonts w:ascii="仿宋" w:hAnsi="仿宋" w:eastAsia="仿宋" w:cs="仿宋"/>
          <w:spacing w:val="-6"/>
          <w:sz w:val="26"/>
          <w:szCs w:val="26"/>
        </w:rPr>
      </w:pPr>
      <w:r>
        <w:rPr>
          <w:rFonts w:hint="eastAsia" w:ascii="仿宋" w:hAnsi="仿宋" w:eastAsia="仿宋" w:cs="仿宋"/>
          <w:spacing w:val="-6"/>
          <w:sz w:val="26"/>
          <w:szCs w:val="26"/>
        </w:rPr>
        <w:t>2.如我方中选，我方承诺：</w:t>
      </w:r>
    </w:p>
    <w:p w14:paraId="10F246C5">
      <w:pPr>
        <w:overflowPunct/>
        <w:topLinePunct w:val="0"/>
        <w:adjustRightInd w:val="0"/>
        <w:snapToGrid w:val="0"/>
        <w:spacing w:line="560" w:lineRule="exact"/>
        <w:ind w:firstLine="488" w:firstLineChars="200"/>
        <w:rPr>
          <w:rFonts w:ascii="仿宋" w:hAnsi="仿宋" w:eastAsia="仿宋" w:cs="仿宋"/>
          <w:spacing w:val="-6"/>
          <w:sz w:val="26"/>
          <w:szCs w:val="26"/>
        </w:rPr>
      </w:pPr>
      <w:r>
        <w:rPr>
          <w:rFonts w:hint="eastAsia" w:ascii="仿宋" w:hAnsi="仿宋" w:eastAsia="仿宋" w:cs="仿宋"/>
          <w:spacing w:val="-6"/>
          <w:sz w:val="26"/>
          <w:szCs w:val="26"/>
        </w:rPr>
        <w:t>（1）在收到中选通知书后，在中选通知书规定的期限内与你方签订合同；</w:t>
      </w:r>
    </w:p>
    <w:p w14:paraId="21DFA1D9">
      <w:pPr>
        <w:overflowPunct/>
        <w:topLinePunct w:val="0"/>
        <w:adjustRightInd w:val="0"/>
        <w:snapToGrid w:val="0"/>
        <w:spacing w:line="560" w:lineRule="exact"/>
        <w:ind w:firstLine="488" w:firstLineChars="200"/>
        <w:rPr>
          <w:rFonts w:ascii="仿宋" w:hAnsi="仿宋" w:eastAsia="仿宋" w:cs="仿宋"/>
          <w:spacing w:val="-6"/>
          <w:sz w:val="26"/>
          <w:szCs w:val="26"/>
        </w:rPr>
      </w:pPr>
      <w:r>
        <w:rPr>
          <w:rFonts w:hint="eastAsia" w:ascii="仿宋" w:hAnsi="仿宋" w:eastAsia="仿宋" w:cs="仿宋"/>
          <w:spacing w:val="-6"/>
          <w:sz w:val="26"/>
          <w:szCs w:val="26"/>
        </w:rPr>
        <w:t>（2）在签订合同时不向你方提出附加条件；</w:t>
      </w:r>
    </w:p>
    <w:p w14:paraId="36979C16">
      <w:pPr>
        <w:overflowPunct/>
        <w:topLinePunct w:val="0"/>
        <w:adjustRightInd w:val="0"/>
        <w:snapToGrid w:val="0"/>
        <w:spacing w:line="560" w:lineRule="exact"/>
        <w:ind w:firstLine="488" w:firstLineChars="200"/>
        <w:rPr>
          <w:rFonts w:ascii="仿宋" w:hAnsi="仿宋" w:eastAsia="仿宋" w:cs="仿宋"/>
          <w:spacing w:val="-6"/>
          <w:sz w:val="26"/>
          <w:szCs w:val="26"/>
        </w:rPr>
      </w:pPr>
      <w:r>
        <w:rPr>
          <w:rFonts w:hint="eastAsia" w:ascii="仿宋" w:hAnsi="仿宋" w:eastAsia="仿宋" w:cs="仿宋"/>
          <w:spacing w:val="-6"/>
          <w:sz w:val="26"/>
          <w:szCs w:val="26"/>
        </w:rPr>
        <w:t>（3）在合同约定的期限内完成合同规定的全部义务；</w:t>
      </w:r>
    </w:p>
    <w:p w14:paraId="09AEBE89">
      <w:pPr>
        <w:overflowPunct/>
        <w:topLinePunct w:val="0"/>
        <w:adjustRightInd w:val="0"/>
        <w:snapToGrid w:val="0"/>
        <w:spacing w:line="560" w:lineRule="exact"/>
        <w:ind w:firstLine="488" w:firstLineChars="200"/>
        <w:rPr>
          <w:rFonts w:ascii="仿宋" w:hAnsi="仿宋" w:eastAsia="仿宋" w:cs="仿宋"/>
          <w:spacing w:val="-6"/>
          <w:sz w:val="26"/>
          <w:szCs w:val="26"/>
        </w:rPr>
      </w:pPr>
      <w:r>
        <w:rPr>
          <w:rFonts w:hint="eastAsia" w:ascii="仿宋" w:hAnsi="仿宋" w:eastAsia="仿宋" w:cs="仿宋"/>
          <w:spacing w:val="-6"/>
          <w:sz w:val="26"/>
          <w:szCs w:val="26"/>
        </w:rPr>
        <w:t>（4）在项目所在地产生的食宿、交通、办公等费用由我单位自理。</w:t>
      </w:r>
    </w:p>
    <w:p w14:paraId="6A16C5DC">
      <w:pPr>
        <w:overflowPunct/>
        <w:topLinePunct w:val="0"/>
        <w:adjustRightInd w:val="0"/>
        <w:snapToGrid w:val="0"/>
        <w:spacing w:line="560" w:lineRule="exact"/>
        <w:ind w:firstLine="488" w:firstLineChars="200"/>
        <w:rPr>
          <w:rFonts w:ascii="仿宋" w:hAnsi="仿宋" w:eastAsia="仿宋" w:cs="仿宋"/>
          <w:spacing w:val="-6"/>
          <w:sz w:val="26"/>
          <w:szCs w:val="26"/>
        </w:rPr>
      </w:pPr>
      <w:r>
        <w:rPr>
          <w:rFonts w:hint="eastAsia" w:ascii="仿宋" w:hAnsi="仿宋" w:eastAsia="仿宋" w:cs="仿宋"/>
          <w:spacing w:val="-6"/>
          <w:sz w:val="26"/>
          <w:szCs w:val="26"/>
        </w:rPr>
        <w:t>3．我方在此声明，所递交的有关资料内容完整、真实和准确。</w:t>
      </w:r>
    </w:p>
    <w:p w14:paraId="0DC0EBE6">
      <w:pPr>
        <w:widowControl w:val="0"/>
        <w:tabs>
          <w:tab w:val="left" w:pos="7221"/>
        </w:tabs>
        <w:overflowPunct/>
        <w:topLinePunct w:val="0"/>
        <w:adjustRightInd w:val="0"/>
        <w:snapToGrid w:val="0"/>
        <w:spacing w:line="560" w:lineRule="exact"/>
        <w:jc w:val="center"/>
        <w:rPr>
          <w:rFonts w:ascii="仿宋" w:hAnsi="仿宋" w:eastAsia="仿宋" w:cs="仿宋"/>
          <w:spacing w:val="-6"/>
          <w:sz w:val="26"/>
          <w:szCs w:val="26"/>
        </w:rPr>
      </w:pPr>
    </w:p>
    <w:p w14:paraId="11E31926">
      <w:pPr>
        <w:widowControl w:val="0"/>
        <w:tabs>
          <w:tab w:val="left" w:pos="7221"/>
        </w:tabs>
        <w:overflowPunct/>
        <w:topLinePunct w:val="0"/>
        <w:adjustRightInd w:val="0"/>
        <w:snapToGrid w:val="0"/>
        <w:spacing w:line="560" w:lineRule="exact"/>
        <w:jc w:val="center"/>
        <w:rPr>
          <w:rFonts w:ascii="仿宋" w:hAnsi="仿宋" w:eastAsia="仿宋" w:cs="仿宋"/>
          <w:spacing w:val="-6"/>
          <w:sz w:val="26"/>
          <w:szCs w:val="26"/>
        </w:rPr>
      </w:pPr>
      <w:r>
        <w:rPr>
          <w:rFonts w:hint="eastAsia" w:ascii="仿宋" w:hAnsi="仿宋" w:eastAsia="仿宋" w:cs="仿宋"/>
          <w:spacing w:val="-6"/>
          <w:sz w:val="26"/>
          <w:szCs w:val="26"/>
        </w:rPr>
        <w:t>报价人：                    （盖单位章）</w:t>
      </w:r>
    </w:p>
    <w:p w14:paraId="1327F6AE">
      <w:pPr>
        <w:widowControl/>
        <w:overflowPunct/>
        <w:topLinePunct w:val="0"/>
        <w:adjustRightInd w:val="0"/>
        <w:snapToGrid w:val="0"/>
        <w:spacing w:line="560" w:lineRule="exact"/>
        <w:ind w:firstLine="2832" w:firstLineChars="1200"/>
        <w:jc w:val="left"/>
        <w:rPr>
          <w:rFonts w:ascii="仿宋_GB2312" w:hAnsi="仿宋_GB2312" w:cs="仿宋_GB2312"/>
          <w:sz w:val="24"/>
          <w:szCs w:val="24"/>
          <w:u w:val="single"/>
        </w:rPr>
      </w:pPr>
    </w:p>
    <w:p w14:paraId="49DE2AF3">
      <w:pPr>
        <w:widowControl/>
        <w:overflowPunct/>
        <w:topLinePunct w:val="0"/>
        <w:adjustRightInd w:val="0"/>
        <w:snapToGrid w:val="0"/>
        <w:spacing w:line="560" w:lineRule="exact"/>
        <w:ind w:firstLine="2832" w:firstLineChars="1200"/>
        <w:jc w:val="left"/>
        <w:rPr>
          <w:rFonts w:ascii="仿宋_GB2312" w:hAnsi="仿宋_GB2312" w:cs="仿宋_GB2312"/>
          <w:spacing w:val="-1"/>
          <w:sz w:val="24"/>
          <w:szCs w:val="24"/>
        </w:rPr>
        <w:sectPr>
          <w:pgSz w:w="11906" w:h="16839"/>
          <w:pgMar w:top="1587" w:right="1474" w:bottom="1474" w:left="1587" w:header="0" w:footer="0" w:gutter="0"/>
          <w:cols w:space="720" w:num="1"/>
          <w:docGrid w:type="linesAndChars" w:linePitch="592" w:charSpace="-842"/>
        </w:sectPr>
      </w:pPr>
      <w:r>
        <w:rPr>
          <w:rFonts w:hint="eastAsia" w:ascii="仿宋_GB2312" w:hAnsi="仿宋_GB2312" w:cs="仿宋_GB2312"/>
          <w:sz w:val="24"/>
          <w:szCs w:val="24"/>
          <w:u w:val="single"/>
        </w:rPr>
        <w:t xml:space="preserve">       </w:t>
      </w:r>
      <w:r>
        <w:rPr>
          <w:rFonts w:hint="eastAsia" w:ascii="仿宋_GB2312" w:hAnsi="仿宋_GB2312" w:cs="仿宋_GB2312"/>
          <w:sz w:val="24"/>
          <w:szCs w:val="24"/>
        </w:rPr>
        <w:t>年</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月</w:t>
      </w:r>
      <w:r>
        <w:rPr>
          <w:rFonts w:hint="eastAsia" w:ascii="仿宋_GB2312" w:hAnsi="仿宋_GB2312" w:cs="仿宋_GB2312"/>
          <w:sz w:val="24"/>
          <w:szCs w:val="24"/>
          <w:u w:val="single"/>
        </w:rPr>
        <w:t xml:space="preserve">       </w:t>
      </w:r>
      <w:r>
        <w:rPr>
          <w:rFonts w:hint="eastAsia" w:ascii="仿宋_GB2312" w:hAnsi="仿宋_GB2312" w:cs="仿宋_GB2312"/>
          <w:spacing w:val="-1"/>
          <w:sz w:val="24"/>
          <w:szCs w:val="24"/>
        </w:rPr>
        <w:t>日</w:t>
      </w:r>
    </w:p>
    <w:p w14:paraId="7DC815C1">
      <w:pPr>
        <w:spacing w:line="560" w:lineRule="exact"/>
        <w:ind w:firstLine="0" w:firstLineChars="0"/>
        <w:jc w:val="left"/>
        <w:rPr>
          <w:rFonts w:ascii="仿宋" w:hAnsi="仿宋_GB2312" w:eastAsia="仿宋" w:cs="仿宋_GB2312"/>
          <w:sz w:val="24"/>
          <w:szCs w:val="30"/>
        </w:rPr>
      </w:pPr>
      <w:r>
        <w:rPr>
          <w:rFonts w:hint="eastAsia" w:ascii="仿宋" w:hAnsi="仿宋_GB2312" w:eastAsia="仿宋" w:cs="仿宋_GB2312"/>
          <w:sz w:val="24"/>
          <w:szCs w:val="30"/>
        </w:rPr>
        <w:t>附件2：</w:t>
      </w:r>
    </w:p>
    <w:p w14:paraId="247BDAFB">
      <w:pPr>
        <w:spacing w:before="64" w:line="219" w:lineRule="auto"/>
        <w:jc w:val="left"/>
        <w:outlineLvl w:val="0"/>
        <w:rPr>
          <w:rFonts w:ascii="宋体" w:hAnsi="宋体" w:eastAsia="宋体" w:cs="宋体"/>
          <w:sz w:val="44"/>
          <w:szCs w:val="44"/>
        </w:rPr>
      </w:pPr>
      <w:r>
        <w:rPr>
          <w:rFonts w:ascii="宋体" w:hAnsi="宋体" w:eastAsia="宋体" w:cs="宋体"/>
          <w:b/>
          <w:bCs/>
          <w:spacing w:val="-6"/>
          <w:sz w:val="44"/>
          <w:szCs w:val="44"/>
        </w:rPr>
        <w:t>（二）</w:t>
      </w:r>
      <w:r>
        <w:rPr>
          <w:rFonts w:hint="eastAsia" w:ascii="宋体" w:hAnsi="宋体" w:eastAsia="宋体" w:cs="宋体"/>
          <w:b/>
          <w:bCs/>
          <w:spacing w:val="-6"/>
          <w:sz w:val="44"/>
          <w:szCs w:val="44"/>
        </w:rPr>
        <w:t>造价项目成员表</w:t>
      </w:r>
    </w:p>
    <w:p w14:paraId="4985D379">
      <w:pPr>
        <w:spacing w:line="22" w:lineRule="exact"/>
        <w:jc w:val="left"/>
      </w:pPr>
    </w:p>
    <w:tbl>
      <w:tblPr>
        <w:tblStyle w:val="18"/>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08"/>
        <w:gridCol w:w="975"/>
        <w:gridCol w:w="2198"/>
        <w:gridCol w:w="977"/>
        <w:gridCol w:w="2448"/>
      </w:tblGrid>
      <w:tr w14:paraId="6EF8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565B90DC">
            <w:pPr>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序号</w:t>
            </w:r>
          </w:p>
        </w:tc>
        <w:tc>
          <w:tcPr>
            <w:tcW w:w="1108" w:type="dxa"/>
            <w:vAlign w:val="center"/>
          </w:tcPr>
          <w:p w14:paraId="4AFB8005">
            <w:pPr>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姓名</w:t>
            </w:r>
          </w:p>
        </w:tc>
        <w:tc>
          <w:tcPr>
            <w:tcW w:w="975" w:type="dxa"/>
            <w:vAlign w:val="center"/>
          </w:tcPr>
          <w:p w14:paraId="40891DF6">
            <w:pPr>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职称</w:t>
            </w:r>
          </w:p>
        </w:tc>
        <w:tc>
          <w:tcPr>
            <w:tcW w:w="2198" w:type="dxa"/>
            <w:vAlign w:val="center"/>
          </w:tcPr>
          <w:p w14:paraId="6D99E624">
            <w:pPr>
              <w:ind w:left="-158" w:leftChars="-50" w:right="-158" w:rightChars="-50"/>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注册证书号或造价员证书号</w:t>
            </w:r>
          </w:p>
        </w:tc>
        <w:tc>
          <w:tcPr>
            <w:tcW w:w="977" w:type="dxa"/>
            <w:vAlign w:val="center"/>
          </w:tcPr>
          <w:p w14:paraId="6AF0AA0F">
            <w:pPr>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专业</w:t>
            </w:r>
          </w:p>
        </w:tc>
        <w:tc>
          <w:tcPr>
            <w:tcW w:w="2448" w:type="dxa"/>
            <w:vAlign w:val="center"/>
          </w:tcPr>
          <w:p w14:paraId="069CEF42">
            <w:pPr>
              <w:jc w:val="center"/>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职责分工</w:t>
            </w:r>
          </w:p>
        </w:tc>
      </w:tr>
      <w:tr w14:paraId="27487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0FE38979">
            <w:pPr>
              <w:jc w:val="center"/>
              <w:rPr>
                <w:rFonts w:ascii="华文仿宋" w:hAnsi="华文仿宋" w:eastAsia="华文仿宋"/>
                <w:sz w:val="28"/>
                <w:szCs w:val="28"/>
              </w:rPr>
            </w:pPr>
          </w:p>
        </w:tc>
        <w:tc>
          <w:tcPr>
            <w:tcW w:w="1108" w:type="dxa"/>
            <w:vAlign w:val="center"/>
          </w:tcPr>
          <w:p w14:paraId="374634AA">
            <w:pPr>
              <w:jc w:val="center"/>
              <w:rPr>
                <w:rFonts w:ascii="华文仿宋" w:hAnsi="华文仿宋" w:eastAsia="华文仿宋"/>
                <w:sz w:val="28"/>
                <w:szCs w:val="28"/>
              </w:rPr>
            </w:pPr>
          </w:p>
        </w:tc>
        <w:tc>
          <w:tcPr>
            <w:tcW w:w="975" w:type="dxa"/>
            <w:vAlign w:val="center"/>
          </w:tcPr>
          <w:p w14:paraId="676A7704">
            <w:pPr>
              <w:jc w:val="center"/>
              <w:rPr>
                <w:rFonts w:ascii="华文仿宋" w:hAnsi="华文仿宋" w:eastAsia="华文仿宋"/>
                <w:sz w:val="28"/>
                <w:szCs w:val="28"/>
              </w:rPr>
            </w:pPr>
          </w:p>
        </w:tc>
        <w:tc>
          <w:tcPr>
            <w:tcW w:w="2198" w:type="dxa"/>
            <w:vAlign w:val="center"/>
          </w:tcPr>
          <w:p w14:paraId="3A4926AA">
            <w:pPr>
              <w:jc w:val="center"/>
              <w:rPr>
                <w:rFonts w:ascii="华文仿宋" w:hAnsi="华文仿宋" w:eastAsia="华文仿宋"/>
                <w:sz w:val="28"/>
                <w:szCs w:val="28"/>
              </w:rPr>
            </w:pPr>
          </w:p>
        </w:tc>
        <w:tc>
          <w:tcPr>
            <w:tcW w:w="977" w:type="dxa"/>
            <w:vAlign w:val="center"/>
          </w:tcPr>
          <w:p w14:paraId="7A1315E0">
            <w:pPr>
              <w:jc w:val="center"/>
              <w:rPr>
                <w:rFonts w:ascii="华文仿宋" w:hAnsi="华文仿宋" w:eastAsia="华文仿宋"/>
                <w:sz w:val="28"/>
                <w:szCs w:val="28"/>
              </w:rPr>
            </w:pPr>
          </w:p>
        </w:tc>
        <w:tc>
          <w:tcPr>
            <w:tcW w:w="2448" w:type="dxa"/>
            <w:vAlign w:val="center"/>
          </w:tcPr>
          <w:p w14:paraId="3A96DC68">
            <w:pPr>
              <w:jc w:val="center"/>
              <w:rPr>
                <w:rFonts w:ascii="华文仿宋" w:hAnsi="华文仿宋" w:eastAsia="华文仿宋"/>
                <w:sz w:val="28"/>
                <w:szCs w:val="28"/>
              </w:rPr>
            </w:pPr>
          </w:p>
        </w:tc>
      </w:tr>
      <w:tr w14:paraId="3A7B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3B7F6E3C">
            <w:pPr>
              <w:jc w:val="center"/>
              <w:rPr>
                <w:rFonts w:ascii="华文仿宋" w:hAnsi="华文仿宋" w:eastAsia="华文仿宋"/>
                <w:bCs/>
                <w:sz w:val="28"/>
                <w:szCs w:val="28"/>
              </w:rPr>
            </w:pPr>
          </w:p>
        </w:tc>
        <w:tc>
          <w:tcPr>
            <w:tcW w:w="1108" w:type="dxa"/>
            <w:vAlign w:val="center"/>
          </w:tcPr>
          <w:p w14:paraId="49DDDF38">
            <w:pPr>
              <w:jc w:val="center"/>
              <w:rPr>
                <w:rFonts w:ascii="华文仿宋" w:hAnsi="华文仿宋" w:eastAsia="华文仿宋"/>
                <w:bCs/>
                <w:sz w:val="28"/>
                <w:szCs w:val="28"/>
              </w:rPr>
            </w:pPr>
          </w:p>
        </w:tc>
        <w:tc>
          <w:tcPr>
            <w:tcW w:w="975" w:type="dxa"/>
            <w:vAlign w:val="center"/>
          </w:tcPr>
          <w:p w14:paraId="113CF133">
            <w:pPr>
              <w:jc w:val="center"/>
              <w:rPr>
                <w:rFonts w:ascii="华文仿宋" w:hAnsi="华文仿宋" w:eastAsia="华文仿宋"/>
                <w:bCs/>
                <w:sz w:val="28"/>
                <w:szCs w:val="28"/>
              </w:rPr>
            </w:pPr>
          </w:p>
        </w:tc>
        <w:tc>
          <w:tcPr>
            <w:tcW w:w="2198" w:type="dxa"/>
            <w:vAlign w:val="center"/>
          </w:tcPr>
          <w:p w14:paraId="78F539A6">
            <w:pPr>
              <w:jc w:val="center"/>
              <w:rPr>
                <w:rFonts w:ascii="华文仿宋" w:hAnsi="华文仿宋" w:eastAsia="华文仿宋"/>
                <w:bCs/>
                <w:sz w:val="28"/>
                <w:szCs w:val="28"/>
              </w:rPr>
            </w:pPr>
          </w:p>
        </w:tc>
        <w:tc>
          <w:tcPr>
            <w:tcW w:w="977" w:type="dxa"/>
            <w:vAlign w:val="center"/>
          </w:tcPr>
          <w:p w14:paraId="268AD403">
            <w:pPr>
              <w:jc w:val="center"/>
              <w:rPr>
                <w:rFonts w:ascii="华文仿宋" w:hAnsi="华文仿宋" w:eastAsia="华文仿宋"/>
                <w:bCs/>
                <w:sz w:val="28"/>
                <w:szCs w:val="28"/>
              </w:rPr>
            </w:pPr>
          </w:p>
        </w:tc>
        <w:tc>
          <w:tcPr>
            <w:tcW w:w="2448" w:type="dxa"/>
            <w:vAlign w:val="center"/>
          </w:tcPr>
          <w:p w14:paraId="11A61D0C">
            <w:pPr>
              <w:jc w:val="center"/>
              <w:rPr>
                <w:rFonts w:ascii="华文仿宋" w:hAnsi="华文仿宋" w:eastAsia="华文仿宋"/>
                <w:bCs/>
                <w:sz w:val="28"/>
                <w:szCs w:val="28"/>
              </w:rPr>
            </w:pPr>
          </w:p>
        </w:tc>
      </w:tr>
      <w:tr w14:paraId="6585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5213E0D6">
            <w:pPr>
              <w:jc w:val="center"/>
              <w:rPr>
                <w:rFonts w:ascii="华文仿宋" w:hAnsi="华文仿宋" w:eastAsia="华文仿宋"/>
                <w:bCs/>
                <w:sz w:val="28"/>
                <w:szCs w:val="28"/>
              </w:rPr>
            </w:pPr>
          </w:p>
        </w:tc>
        <w:tc>
          <w:tcPr>
            <w:tcW w:w="1108" w:type="dxa"/>
            <w:vAlign w:val="center"/>
          </w:tcPr>
          <w:p w14:paraId="14B6C337">
            <w:pPr>
              <w:jc w:val="center"/>
              <w:rPr>
                <w:rFonts w:ascii="华文仿宋" w:hAnsi="华文仿宋" w:eastAsia="华文仿宋"/>
                <w:bCs/>
                <w:sz w:val="28"/>
                <w:szCs w:val="28"/>
              </w:rPr>
            </w:pPr>
          </w:p>
        </w:tc>
        <w:tc>
          <w:tcPr>
            <w:tcW w:w="975" w:type="dxa"/>
            <w:vAlign w:val="center"/>
          </w:tcPr>
          <w:p w14:paraId="1A3CABE9">
            <w:pPr>
              <w:jc w:val="center"/>
              <w:rPr>
                <w:rFonts w:ascii="华文仿宋" w:hAnsi="华文仿宋" w:eastAsia="华文仿宋"/>
                <w:bCs/>
                <w:sz w:val="28"/>
                <w:szCs w:val="28"/>
              </w:rPr>
            </w:pPr>
          </w:p>
        </w:tc>
        <w:tc>
          <w:tcPr>
            <w:tcW w:w="2198" w:type="dxa"/>
            <w:vAlign w:val="center"/>
          </w:tcPr>
          <w:p w14:paraId="40FDF533">
            <w:pPr>
              <w:jc w:val="center"/>
              <w:rPr>
                <w:rFonts w:ascii="华文仿宋" w:hAnsi="华文仿宋" w:eastAsia="华文仿宋"/>
                <w:bCs/>
                <w:sz w:val="28"/>
                <w:szCs w:val="28"/>
              </w:rPr>
            </w:pPr>
          </w:p>
        </w:tc>
        <w:tc>
          <w:tcPr>
            <w:tcW w:w="977" w:type="dxa"/>
            <w:vAlign w:val="center"/>
          </w:tcPr>
          <w:p w14:paraId="06A0322F">
            <w:pPr>
              <w:jc w:val="center"/>
              <w:rPr>
                <w:rFonts w:ascii="华文仿宋" w:hAnsi="华文仿宋" w:eastAsia="华文仿宋"/>
                <w:bCs/>
                <w:sz w:val="28"/>
                <w:szCs w:val="28"/>
              </w:rPr>
            </w:pPr>
          </w:p>
        </w:tc>
        <w:tc>
          <w:tcPr>
            <w:tcW w:w="2448" w:type="dxa"/>
            <w:vAlign w:val="center"/>
          </w:tcPr>
          <w:p w14:paraId="78ADABA7">
            <w:pPr>
              <w:jc w:val="center"/>
              <w:rPr>
                <w:rFonts w:ascii="华文仿宋" w:hAnsi="华文仿宋" w:eastAsia="华文仿宋"/>
                <w:bCs/>
                <w:sz w:val="28"/>
                <w:szCs w:val="28"/>
              </w:rPr>
            </w:pPr>
          </w:p>
        </w:tc>
      </w:tr>
      <w:tr w14:paraId="1B3D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9B78F2A">
            <w:pPr>
              <w:jc w:val="center"/>
              <w:rPr>
                <w:rFonts w:ascii="华文仿宋" w:hAnsi="华文仿宋" w:eastAsia="华文仿宋"/>
                <w:bCs/>
                <w:sz w:val="28"/>
                <w:szCs w:val="28"/>
              </w:rPr>
            </w:pPr>
          </w:p>
        </w:tc>
        <w:tc>
          <w:tcPr>
            <w:tcW w:w="1108" w:type="dxa"/>
            <w:vAlign w:val="center"/>
          </w:tcPr>
          <w:p w14:paraId="59FDD1F5">
            <w:pPr>
              <w:jc w:val="center"/>
              <w:rPr>
                <w:rFonts w:ascii="华文仿宋" w:hAnsi="华文仿宋" w:eastAsia="华文仿宋"/>
                <w:bCs/>
                <w:sz w:val="28"/>
                <w:szCs w:val="28"/>
              </w:rPr>
            </w:pPr>
          </w:p>
        </w:tc>
        <w:tc>
          <w:tcPr>
            <w:tcW w:w="975" w:type="dxa"/>
            <w:vAlign w:val="center"/>
          </w:tcPr>
          <w:p w14:paraId="4E4544AC">
            <w:pPr>
              <w:jc w:val="center"/>
              <w:rPr>
                <w:rFonts w:ascii="华文仿宋" w:hAnsi="华文仿宋" w:eastAsia="华文仿宋"/>
                <w:bCs/>
                <w:sz w:val="28"/>
                <w:szCs w:val="28"/>
              </w:rPr>
            </w:pPr>
          </w:p>
        </w:tc>
        <w:tc>
          <w:tcPr>
            <w:tcW w:w="2198" w:type="dxa"/>
            <w:vAlign w:val="center"/>
          </w:tcPr>
          <w:p w14:paraId="3AA0BDBD">
            <w:pPr>
              <w:jc w:val="center"/>
              <w:rPr>
                <w:rFonts w:ascii="华文仿宋" w:hAnsi="华文仿宋" w:eastAsia="华文仿宋"/>
                <w:bCs/>
                <w:sz w:val="28"/>
                <w:szCs w:val="28"/>
              </w:rPr>
            </w:pPr>
          </w:p>
        </w:tc>
        <w:tc>
          <w:tcPr>
            <w:tcW w:w="977" w:type="dxa"/>
            <w:vAlign w:val="center"/>
          </w:tcPr>
          <w:p w14:paraId="7405C18E">
            <w:pPr>
              <w:jc w:val="center"/>
              <w:rPr>
                <w:rFonts w:ascii="华文仿宋" w:hAnsi="华文仿宋" w:eastAsia="华文仿宋"/>
                <w:bCs/>
                <w:sz w:val="28"/>
                <w:szCs w:val="28"/>
              </w:rPr>
            </w:pPr>
          </w:p>
        </w:tc>
        <w:tc>
          <w:tcPr>
            <w:tcW w:w="2448" w:type="dxa"/>
            <w:vAlign w:val="center"/>
          </w:tcPr>
          <w:p w14:paraId="358C7122">
            <w:pPr>
              <w:jc w:val="center"/>
              <w:rPr>
                <w:rFonts w:ascii="华文仿宋" w:hAnsi="华文仿宋" w:eastAsia="华文仿宋"/>
                <w:bCs/>
                <w:sz w:val="28"/>
                <w:szCs w:val="28"/>
              </w:rPr>
            </w:pPr>
          </w:p>
        </w:tc>
      </w:tr>
      <w:tr w14:paraId="116A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5EDF2F12">
            <w:pPr>
              <w:jc w:val="center"/>
              <w:rPr>
                <w:rFonts w:ascii="华文仿宋" w:hAnsi="华文仿宋" w:eastAsia="华文仿宋"/>
                <w:bCs/>
                <w:sz w:val="28"/>
                <w:szCs w:val="28"/>
              </w:rPr>
            </w:pPr>
          </w:p>
        </w:tc>
        <w:tc>
          <w:tcPr>
            <w:tcW w:w="1108" w:type="dxa"/>
            <w:vAlign w:val="center"/>
          </w:tcPr>
          <w:p w14:paraId="2501D57B">
            <w:pPr>
              <w:jc w:val="center"/>
              <w:rPr>
                <w:rFonts w:ascii="华文仿宋" w:hAnsi="华文仿宋" w:eastAsia="华文仿宋"/>
                <w:bCs/>
                <w:sz w:val="28"/>
                <w:szCs w:val="28"/>
              </w:rPr>
            </w:pPr>
          </w:p>
        </w:tc>
        <w:tc>
          <w:tcPr>
            <w:tcW w:w="975" w:type="dxa"/>
            <w:vAlign w:val="center"/>
          </w:tcPr>
          <w:p w14:paraId="7941FB3B">
            <w:pPr>
              <w:jc w:val="center"/>
              <w:rPr>
                <w:rFonts w:ascii="华文仿宋" w:hAnsi="华文仿宋" w:eastAsia="华文仿宋"/>
                <w:bCs/>
                <w:sz w:val="28"/>
                <w:szCs w:val="28"/>
              </w:rPr>
            </w:pPr>
          </w:p>
        </w:tc>
        <w:tc>
          <w:tcPr>
            <w:tcW w:w="2198" w:type="dxa"/>
            <w:vAlign w:val="center"/>
          </w:tcPr>
          <w:p w14:paraId="08E922E6">
            <w:pPr>
              <w:jc w:val="center"/>
              <w:rPr>
                <w:rFonts w:ascii="华文仿宋" w:hAnsi="华文仿宋" w:eastAsia="华文仿宋"/>
                <w:bCs/>
                <w:sz w:val="28"/>
                <w:szCs w:val="28"/>
              </w:rPr>
            </w:pPr>
          </w:p>
        </w:tc>
        <w:tc>
          <w:tcPr>
            <w:tcW w:w="977" w:type="dxa"/>
            <w:vAlign w:val="center"/>
          </w:tcPr>
          <w:p w14:paraId="62621F9D">
            <w:pPr>
              <w:jc w:val="center"/>
              <w:rPr>
                <w:rFonts w:ascii="华文仿宋" w:hAnsi="华文仿宋" w:eastAsia="华文仿宋"/>
                <w:bCs/>
                <w:sz w:val="28"/>
                <w:szCs w:val="28"/>
              </w:rPr>
            </w:pPr>
          </w:p>
        </w:tc>
        <w:tc>
          <w:tcPr>
            <w:tcW w:w="2448" w:type="dxa"/>
            <w:vAlign w:val="center"/>
          </w:tcPr>
          <w:p w14:paraId="0B5EC15C">
            <w:pPr>
              <w:jc w:val="center"/>
              <w:rPr>
                <w:rFonts w:ascii="华文仿宋" w:hAnsi="华文仿宋" w:eastAsia="华文仿宋"/>
                <w:bCs/>
                <w:sz w:val="28"/>
                <w:szCs w:val="28"/>
              </w:rPr>
            </w:pPr>
          </w:p>
        </w:tc>
      </w:tr>
      <w:tr w14:paraId="2CF2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786C3A6F">
            <w:pPr>
              <w:jc w:val="center"/>
              <w:rPr>
                <w:rFonts w:ascii="华文仿宋" w:hAnsi="华文仿宋" w:eastAsia="华文仿宋"/>
                <w:bCs/>
                <w:sz w:val="28"/>
                <w:szCs w:val="28"/>
              </w:rPr>
            </w:pPr>
          </w:p>
        </w:tc>
        <w:tc>
          <w:tcPr>
            <w:tcW w:w="1108" w:type="dxa"/>
            <w:vAlign w:val="center"/>
          </w:tcPr>
          <w:p w14:paraId="5A4FFF3E">
            <w:pPr>
              <w:jc w:val="center"/>
              <w:rPr>
                <w:rFonts w:ascii="华文仿宋" w:hAnsi="华文仿宋" w:eastAsia="华文仿宋"/>
                <w:bCs/>
                <w:sz w:val="28"/>
                <w:szCs w:val="28"/>
              </w:rPr>
            </w:pPr>
          </w:p>
        </w:tc>
        <w:tc>
          <w:tcPr>
            <w:tcW w:w="975" w:type="dxa"/>
            <w:vAlign w:val="center"/>
          </w:tcPr>
          <w:p w14:paraId="187F72E0">
            <w:pPr>
              <w:jc w:val="center"/>
              <w:rPr>
                <w:rFonts w:ascii="华文仿宋" w:hAnsi="华文仿宋" w:eastAsia="华文仿宋"/>
                <w:bCs/>
                <w:sz w:val="28"/>
                <w:szCs w:val="28"/>
              </w:rPr>
            </w:pPr>
          </w:p>
        </w:tc>
        <w:tc>
          <w:tcPr>
            <w:tcW w:w="2198" w:type="dxa"/>
            <w:vAlign w:val="center"/>
          </w:tcPr>
          <w:p w14:paraId="0574A7FB">
            <w:pPr>
              <w:jc w:val="center"/>
              <w:rPr>
                <w:rFonts w:ascii="华文仿宋" w:hAnsi="华文仿宋" w:eastAsia="华文仿宋"/>
                <w:bCs/>
                <w:sz w:val="28"/>
                <w:szCs w:val="28"/>
              </w:rPr>
            </w:pPr>
          </w:p>
        </w:tc>
        <w:tc>
          <w:tcPr>
            <w:tcW w:w="977" w:type="dxa"/>
            <w:vAlign w:val="center"/>
          </w:tcPr>
          <w:p w14:paraId="4B763916">
            <w:pPr>
              <w:jc w:val="center"/>
              <w:rPr>
                <w:rFonts w:ascii="华文仿宋" w:hAnsi="华文仿宋" w:eastAsia="华文仿宋"/>
                <w:bCs/>
                <w:sz w:val="28"/>
                <w:szCs w:val="28"/>
              </w:rPr>
            </w:pPr>
          </w:p>
        </w:tc>
        <w:tc>
          <w:tcPr>
            <w:tcW w:w="2448" w:type="dxa"/>
            <w:vAlign w:val="center"/>
          </w:tcPr>
          <w:p w14:paraId="47A1B3F2">
            <w:pPr>
              <w:jc w:val="center"/>
              <w:rPr>
                <w:rFonts w:ascii="华文仿宋" w:hAnsi="华文仿宋" w:eastAsia="华文仿宋"/>
                <w:bCs/>
                <w:sz w:val="28"/>
                <w:szCs w:val="28"/>
              </w:rPr>
            </w:pPr>
          </w:p>
        </w:tc>
      </w:tr>
      <w:tr w14:paraId="5B37A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6765739">
            <w:pPr>
              <w:jc w:val="center"/>
              <w:rPr>
                <w:rFonts w:ascii="华文仿宋" w:hAnsi="华文仿宋" w:eastAsia="华文仿宋"/>
                <w:bCs/>
                <w:sz w:val="28"/>
                <w:szCs w:val="28"/>
              </w:rPr>
            </w:pPr>
          </w:p>
        </w:tc>
        <w:tc>
          <w:tcPr>
            <w:tcW w:w="1108" w:type="dxa"/>
            <w:vAlign w:val="center"/>
          </w:tcPr>
          <w:p w14:paraId="2D3FAFD2">
            <w:pPr>
              <w:jc w:val="center"/>
              <w:rPr>
                <w:rFonts w:ascii="华文仿宋" w:hAnsi="华文仿宋" w:eastAsia="华文仿宋"/>
                <w:bCs/>
                <w:sz w:val="28"/>
                <w:szCs w:val="28"/>
              </w:rPr>
            </w:pPr>
          </w:p>
        </w:tc>
        <w:tc>
          <w:tcPr>
            <w:tcW w:w="975" w:type="dxa"/>
            <w:vAlign w:val="center"/>
          </w:tcPr>
          <w:p w14:paraId="16CDE924">
            <w:pPr>
              <w:jc w:val="center"/>
              <w:rPr>
                <w:rFonts w:ascii="华文仿宋" w:hAnsi="华文仿宋" w:eastAsia="华文仿宋"/>
                <w:bCs/>
                <w:sz w:val="28"/>
                <w:szCs w:val="28"/>
              </w:rPr>
            </w:pPr>
          </w:p>
        </w:tc>
        <w:tc>
          <w:tcPr>
            <w:tcW w:w="2198" w:type="dxa"/>
            <w:vAlign w:val="center"/>
          </w:tcPr>
          <w:p w14:paraId="441F571A">
            <w:pPr>
              <w:jc w:val="center"/>
              <w:rPr>
                <w:rFonts w:ascii="华文仿宋" w:hAnsi="华文仿宋" w:eastAsia="华文仿宋"/>
                <w:bCs/>
                <w:sz w:val="28"/>
                <w:szCs w:val="28"/>
              </w:rPr>
            </w:pPr>
          </w:p>
        </w:tc>
        <w:tc>
          <w:tcPr>
            <w:tcW w:w="977" w:type="dxa"/>
            <w:vAlign w:val="center"/>
          </w:tcPr>
          <w:p w14:paraId="31A9F15A">
            <w:pPr>
              <w:jc w:val="center"/>
              <w:rPr>
                <w:rFonts w:ascii="华文仿宋" w:hAnsi="华文仿宋" w:eastAsia="华文仿宋"/>
                <w:bCs/>
                <w:sz w:val="28"/>
                <w:szCs w:val="28"/>
              </w:rPr>
            </w:pPr>
          </w:p>
        </w:tc>
        <w:tc>
          <w:tcPr>
            <w:tcW w:w="2448" w:type="dxa"/>
            <w:vAlign w:val="center"/>
          </w:tcPr>
          <w:p w14:paraId="365FEE48">
            <w:pPr>
              <w:jc w:val="center"/>
              <w:rPr>
                <w:rFonts w:ascii="华文仿宋" w:hAnsi="华文仿宋" w:eastAsia="华文仿宋"/>
                <w:bCs/>
                <w:sz w:val="28"/>
                <w:szCs w:val="28"/>
              </w:rPr>
            </w:pPr>
          </w:p>
        </w:tc>
      </w:tr>
      <w:tr w14:paraId="5A4C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137DA493">
            <w:pPr>
              <w:jc w:val="center"/>
              <w:rPr>
                <w:rFonts w:ascii="华文仿宋" w:hAnsi="华文仿宋" w:eastAsia="华文仿宋"/>
                <w:bCs/>
                <w:sz w:val="28"/>
                <w:szCs w:val="28"/>
              </w:rPr>
            </w:pPr>
          </w:p>
        </w:tc>
        <w:tc>
          <w:tcPr>
            <w:tcW w:w="1108" w:type="dxa"/>
            <w:vAlign w:val="center"/>
          </w:tcPr>
          <w:p w14:paraId="3B700DEC">
            <w:pPr>
              <w:jc w:val="center"/>
              <w:rPr>
                <w:rFonts w:ascii="华文仿宋" w:hAnsi="华文仿宋" w:eastAsia="华文仿宋"/>
                <w:bCs/>
                <w:sz w:val="28"/>
                <w:szCs w:val="28"/>
              </w:rPr>
            </w:pPr>
          </w:p>
        </w:tc>
        <w:tc>
          <w:tcPr>
            <w:tcW w:w="975" w:type="dxa"/>
            <w:vAlign w:val="center"/>
          </w:tcPr>
          <w:p w14:paraId="0A436694">
            <w:pPr>
              <w:jc w:val="center"/>
              <w:rPr>
                <w:rFonts w:ascii="华文仿宋" w:hAnsi="华文仿宋" w:eastAsia="华文仿宋"/>
                <w:bCs/>
                <w:sz w:val="28"/>
                <w:szCs w:val="28"/>
              </w:rPr>
            </w:pPr>
          </w:p>
        </w:tc>
        <w:tc>
          <w:tcPr>
            <w:tcW w:w="2198" w:type="dxa"/>
            <w:vAlign w:val="center"/>
          </w:tcPr>
          <w:p w14:paraId="4C8AFE57">
            <w:pPr>
              <w:jc w:val="center"/>
              <w:rPr>
                <w:rFonts w:ascii="华文仿宋" w:hAnsi="华文仿宋" w:eastAsia="华文仿宋"/>
                <w:bCs/>
                <w:sz w:val="28"/>
                <w:szCs w:val="28"/>
              </w:rPr>
            </w:pPr>
          </w:p>
        </w:tc>
        <w:tc>
          <w:tcPr>
            <w:tcW w:w="977" w:type="dxa"/>
            <w:vAlign w:val="center"/>
          </w:tcPr>
          <w:p w14:paraId="2E66ACBC">
            <w:pPr>
              <w:jc w:val="center"/>
              <w:rPr>
                <w:rFonts w:ascii="华文仿宋" w:hAnsi="华文仿宋" w:eastAsia="华文仿宋"/>
                <w:bCs/>
                <w:sz w:val="28"/>
                <w:szCs w:val="28"/>
              </w:rPr>
            </w:pPr>
          </w:p>
        </w:tc>
        <w:tc>
          <w:tcPr>
            <w:tcW w:w="2448" w:type="dxa"/>
            <w:vAlign w:val="center"/>
          </w:tcPr>
          <w:p w14:paraId="2B14C4E8">
            <w:pPr>
              <w:jc w:val="center"/>
              <w:rPr>
                <w:rFonts w:ascii="华文仿宋" w:hAnsi="华文仿宋" w:eastAsia="华文仿宋"/>
                <w:bCs/>
                <w:sz w:val="28"/>
                <w:szCs w:val="28"/>
              </w:rPr>
            </w:pPr>
          </w:p>
        </w:tc>
      </w:tr>
      <w:tr w14:paraId="2BEE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384E74DC">
            <w:pPr>
              <w:jc w:val="center"/>
              <w:rPr>
                <w:rFonts w:ascii="华文仿宋" w:hAnsi="华文仿宋" w:eastAsia="华文仿宋"/>
                <w:bCs/>
                <w:sz w:val="28"/>
                <w:szCs w:val="28"/>
              </w:rPr>
            </w:pPr>
          </w:p>
        </w:tc>
        <w:tc>
          <w:tcPr>
            <w:tcW w:w="1108" w:type="dxa"/>
            <w:vAlign w:val="center"/>
          </w:tcPr>
          <w:p w14:paraId="56FCC2F7">
            <w:pPr>
              <w:jc w:val="center"/>
              <w:rPr>
                <w:rFonts w:ascii="华文仿宋" w:hAnsi="华文仿宋" w:eastAsia="华文仿宋"/>
                <w:bCs/>
                <w:sz w:val="28"/>
                <w:szCs w:val="28"/>
              </w:rPr>
            </w:pPr>
          </w:p>
        </w:tc>
        <w:tc>
          <w:tcPr>
            <w:tcW w:w="975" w:type="dxa"/>
            <w:vAlign w:val="center"/>
          </w:tcPr>
          <w:p w14:paraId="6252EE62">
            <w:pPr>
              <w:jc w:val="center"/>
              <w:rPr>
                <w:rFonts w:ascii="华文仿宋" w:hAnsi="华文仿宋" w:eastAsia="华文仿宋"/>
                <w:bCs/>
                <w:sz w:val="28"/>
                <w:szCs w:val="28"/>
              </w:rPr>
            </w:pPr>
          </w:p>
        </w:tc>
        <w:tc>
          <w:tcPr>
            <w:tcW w:w="2198" w:type="dxa"/>
            <w:vAlign w:val="center"/>
          </w:tcPr>
          <w:p w14:paraId="5CA59D41">
            <w:pPr>
              <w:jc w:val="center"/>
              <w:rPr>
                <w:rFonts w:ascii="华文仿宋" w:hAnsi="华文仿宋" w:eastAsia="华文仿宋"/>
                <w:bCs/>
                <w:sz w:val="28"/>
                <w:szCs w:val="28"/>
              </w:rPr>
            </w:pPr>
          </w:p>
        </w:tc>
        <w:tc>
          <w:tcPr>
            <w:tcW w:w="977" w:type="dxa"/>
            <w:vAlign w:val="center"/>
          </w:tcPr>
          <w:p w14:paraId="00A89D77">
            <w:pPr>
              <w:jc w:val="center"/>
              <w:rPr>
                <w:rFonts w:ascii="华文仿宋" w:hAnsi="华文仿宋" w:eastAsia="华文仿宋"/>
                <w:bCs/>
                <w:sz w:val="28"/>
                <w:szCs w:val="28"/>
              </w:rPr>
            </w:pPr>
          </w:p>
        </w:tc>
        <w:tc>
          <w:tcPr>
            <w:tcW w:w="2448" w:type="dxa"/>
            <w:vAlign w:val="center"/>
          </w:tcPr>
          <w:p w14:paraId="1BF46382">
            <w:pPr>
              <w:jc w:val="center"/>
              <w:rPr>
                <w:rFonts w:ascii="华文仿宋" w:hAnsi="华文仿宋" w:eastAsia="华文仿宋"/>
                <w:bCs/>
                <w:sz w:val="28"/>
                <w:szCs w:val="28"/>
              </w:rPr>
            </w:pPr>
          </w:p>
        </w:tc>
      </w:tr>
      <w:tr w14:paraId="0CF1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55DEAE65">
            <w:pPr>
              <w:jc w:val="center"/>
              <w:rPr>
                <w:rFonts w:ascii="华文仿宋" w:hAnsi="华文仿宋" w:eastAsia="华文仿宋"/>
                <w:bCs/>
                <w:sz w:val="28"/>
                <w:szCs w:val="28"/>
              </w:rPr>
            </w:pPr>
          </w:p>
        </w:tc>
        <w:tc>
          <w:tcPr>
            <w:tcW w:w="1108" w:type="dxa"/>
            <w:vAlign w:val="center"/>
          </w:tcPr>
          <w:p w14:paraId="0CD50520">
            <w:pPr>
              <w:jc w:val="center"/>
              <w:rPr>
                <w:rFonts w:ascii="华文仿宋" w:hAnsi="华文仿宋" w:eastAsia="华文仿宋"/>
                <w:bCs/>
                <w:sz w:val="28"/>
                <w:szCs w:val="28"/>
              </w:rPr>
            </w:pPr>
          </w:p>
        </w:tc>
        <w:tc>
          <w:tcPr>
            <w:tcW w:w="975" w:type="dxa"/>
            <w:vAlign w:val="center"/>
          </w:tcPr>
          <w:p w14:paraId="300434B9">
            <w:pPr>
              <w:jc w:val="center"/>
              <w:rPr>
                <w:rFonts w:ascii="华文仿宋" w:hAnsi="华文仿宋" w:eastAsia="华文仿宋"/>
                <w:bCs/>
                <w:sz w:val="28"/>
                <w:szCs w:val="28"/>
              </w:rPr>
            </w:pPr>
          </w:p>
        </w:tc>
        <w:tc>
          <w:tcPr>
            <w:tcW w:w="2198" w:type="dxa"/>
            <w:vAlign w:val="center"/>
          </w:tcPr>
          <w:p w14:paraId="6475A1D3">
            <w:pPr>
              <w:jc w:val="center"/>
              <w:rPr>
                <w:rFonts w:ascii="华文仿宋" w:hAnsi="华文仿宋" w:eastAsia="华文仿宋"/>
                <w:bCs/>
                <w:sz w:val="28"/>
                <w:szCs w:val="28"/>
              </w:rPr>
            </w:pPr>
          </w:p>
        </w:tc>
        <w:tc>
          <w:tcPr>
            <w:tcW w:w="977" w:type="dxa"/>
            <w:vAlign w:val="center"/>
          </w:tcPr>
          <w:p w14:paraId="4BA95A4C">
            <w:pPr>
              <w:jc w:val="center"/>
              <w:rPr>
                <w:rFonts w:ascii="华文仿宋" w:hAnsi="华文仿宋" w:eastAsia="华文仿宋"/>
                <w:bCs/>
                <w:sz w:val="28"/>
                <w:szCs w:val="28"/>
              </w:rPr>
            </w:pPr>
          </w:p>
        </w:tc>
        <w:tc>
          <w:tcPr>
            <w:tcW w:w="2448" w:type="dxa"/>
            <w:vAlign w:val="center"/>
          </w:tcPr>
          <w:p w14:paraId="30B7D673">
            <w:pPr>
              <w:jc w:val="center"/>
              <w:rPr>
                <w:rFonts w:ascii="华文仿宋" w:hAnsi="华文仿宋" w:eastAsia="华文仿宋"/>
                <w:bCs/>
                <w:sz w:val="28"/>
                <w:szCs w:val="28"/>
              </w:rPr>
            </w:pPr>
          </w:p>
        </w:tc>
      </w:tr>
      <w:tr w14:paraId="61F9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34057479">
            <w:pPr>
              <w:jc w:val="center"/>
              <w:rPr>
                <w:rFonts w:ascii="华文仿宋" w:hAnsi="华文仿宋" w:eastAsia="华文仿宋"/>
                <w:bCs/>
                <w:sz w:val="28"/>
                <w:szCs w:val="28"/>
              </w:rPr>
            </w:pPr>
          </w:p>
        </w:tc>
        <w:tc>
          <w:tcPr>
            <w:tcW w:w="1108" w:type="dxa"/>
            <w:vAlign w:val="center"/>
          </w:tcPr>
          <w:p w14:paraId="4FB46385">
            <w:pPr>
              <w:jc w:val="center"/>
              <w:rPr>
                <w:rFonts w:ascii="华文仿宋" w:hAnsi="华文仿宋" w:eastAsia="华文仿宋"/>
                <w:bCs/>
                <w:sz w:val="28"/>
                <w:szCs w:val="28"/>
              </w:rPr>
            </w:pPr>
          </w:p>
        </w:tc>
        <w:tc>
          <w:tcPr>
            <w:tcW w:w="975" w:type="dxa"/>
            <w:vAlign w:val="center"/>
          </w:tcPr>
          <w:p w14:paraId="4511FB2E">
            <w:pPr>
              <w:jc w:val="center"/>
              <w:rPr>
                <w:rFonts w:ascii="华文仿宋" w:hAnsi="华文仿宋" w:eastAsia="华文仿宋"/>
                <w:bCs/>
                <w:sz w:val="28"/>
                <w:szCs w:val="28"/>
              </w:rPr>
            </w:pPr>
          </w:p>
        </w:tc>
        <w:tc>
          <w:tcPr>
            <w:tcW w:w="2198" w:type="dxa"/>
            <w:vAlign w:val="center"/>
          </w:tcPr>
          <w:p w14:paraId="10867EE5">
            <w:pPr>
              <w:jc w:val="center"/>
              <w:rPr>
                <w:rFonts w:ascii="华文仿宋" w:hAnsi="华文仿宋" w:eastAsia="华文仿宋"/>
                <w:bCs/>
                <w:sz w:val="28"/>
                <w:szCs w:val="28"/>
              </w:rPr>
            </w:pPr>
          </w:p>
        </w:tc>
        <w:tc>
          <w:tcPr>
            <w:tcW w:w="977" w:type="dxa"/>
            <w:vAlign w:val="center"/>
          </w:tcPr>
          <w:p w14:paraId="7C6BB881">
            <w:pPr>
              <w:jc w:val="center"/>
              <w:rPr>
                <w:rFonts w:ascii="华文仿宋" w:hAnsi="华文仿宋" w:eastAsia="华文仿宋"/>
                <w:bCs/>
                <w:sz w:val="28"/>
                <w:szCs w:val="28"/>
              </w:rPr>
            </w:pPr>
          </w:p>
        </w:tc>
        <w:tc>
          <w:tcPr>
            <w:tcW w:w="2448" w:type="dxa"/>
            <w:vAlign w:val="center"/>
          </w:tcPr>
          <w:p w14:paraId="263FE112">
            <w:pPr>
              <w:jc w:val="center"/>
              <w:rPr>
                <w:rFonts w:ascii="华文仿宋" w:hAnsi="华文仿宋" w:eastAsia="华文仿宋"/>
                <w:bCs/>
                <w:sz w:val="28"/>
                <w:szCs w:val="28"/>
              </w:rPr>
            </w:pPr>
          </w:p>
        </w:tc>
      </w:tr>
      <w:tr w14:paraId="67BA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63117184">
            <w:pPr>
              <w:jc w:val="center"/>
              <w:rPr>
                <w:rFonts w:ascii="华文仿宋" w:hAnsi="华文仿宋" w:eastAsia="华文仿宋"/>
                <w:bCs/>
                <w:sz w:val="28"/>
                <w:szCs w:val="28"/>
              </w:rPr>
            </w:pPr>
          </w:p>
        </w:tc>
        <w:tc>
          <w:tcPr>
            <w:tcW w:w="1108" w:type="dxa"/>
            <w:vAlign w:val="center"/>
          </w:tcPr>
          <w:p w14:paraId="7BF235C9">
            <w:pPr>
              <w:jc w:val="center"/>
              <w:rPr>
                <w:rFonts w:ascii="华文仿宋" w:hAnsi="华文仿宋" w:eastAsia="华文仿宋"/>
                <w:bCs/>
                <w:sz w:val="28"/>
                <w:szCs w:val="28"/>
              </w:rPr>
            </w:pPr>
          </w:p>
        </w:tc>
        <w:tc>
          <w:tcPr>
            <w:tcW w:w="975" w:type="dxa"/>
            <w:vAlign w:val="center"/>
          </w:tcPr>
          <w:p w14:paraId="0280273B">
            <w:pPr>
              <w:jc w:val="center"/>
              <w:rPr>
                <w:rFonts w:ascii="华文仿宋" w:hAnsi="华文仿宋" w:eastAsia="华文仿宋"/>
                <w:bCs/>
                <w:sz w:val="28"/>
                <w:szCs w:val="28"/>
              </w:rPr>
            </w:pPr>
          </w:p>
        </w:tc>
        <w:tc>
          <w:tcPr>
            <w:tcW w:w="2198" w:type="dxa"/>
            <w:vAlign w:val="center"/>
          </w:tcPr>
          <w:p w14:paraId="5715A6CD">
            <w:pPr>
              <w:jc w:val="center"/>
              <w:rPr>
                <w:rFonts w:ascii="华文仿宋" w:hAnsi="华文仿宋" w:eastAsia="华文仿宋"/>
                <w:bCs/>
                <w:sz w:val="28"/>
                <w:szCs w:val="28"/>
              </w:rPr>
            </w:pPr>
          </w:p>
        </w:tc>
        <w:tc>
          <w:tcPr>
            <w:tcW w:w="977" w:type="dxa"/>
            <w:vAlign w:val="center"/>
          </w:tcPr>
          <w:p w14:paraId="536787FB">
            <w:pPr>
              <w:jc w:val="center"/>
              <w:rPr>
                <w:rFonts w:ascii="华文仿宋" w:hAnsi="华文仿宋" w:eastAsia="华文仿宋"/>
                <w:bCs/>
                <w:sz w:val="28"/>
                <w:szCs w:val="28"/>
              </w:rPr>
            </w:pPr>
          </w:p>
        </w:tc>
        <w:tc>
          <w:tcPr>
            <w:tcW w:w="2448" w:type="dxa"/>
            <w:vAlign w:val="center"/>
          </w:tcPr>
          <w:p w14:paraId="6C8BC465">
            <w:pPr>
              <w:jc w:val="center"/>
              <w:rPr>
                <w:rFonts w:ascii="华文仿宋" w:hAnsi="华文仿宋" w:eastAsia="华文仿宋"/>
                <w:bCs/>
                <w:sz w:val="28"/>
                <w:szCs w:val="28"/>
              </w:rPr>
            </w:pPr>
          </w:p>
        </w:tc>
      </w:tr>
      <w:tr w14:paraId="7148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11BE17E2">
            <w:pPr>
              <w:jc w:val="center"/>
              <w:rPr>
                <w:rFonts w:ascii="华文仿宋" w:hAnsi="华文仿宋" w:eastAsia="华文仿宋"/>
                <w:bCs/>
                <w:sz w:val="28"/>
                <w:szCs w:val="28"/>
              </w:rPr>
            </w:pPr>
          </w:p>
        </w:tc>
        <w:tc>
          <w:tcPr>
            <w:tcW w:w="1108" w:type="dxa"/>
            <w:vAlign w:val="center"/>
          </w:tcPr>
          <w:p w14:paraId="500A3C97">
            <w:pPr>
              <w:jc w:val="center"/>
              <w:rPr>
                <w:rFonts w:ascii="华文仿宋" w:hAnsi="华文仿宋" w:eastAsia="华文仿宋"/>
                <w:bCs/>
                <w:sz w:val="28"/>
                <w:szCs w:val="28"/>
              </w:rPr>
            </w:pPr>
          </w:p>
        </w:tc>
        <w:tc>
          <w:tcPr>
            <w:tcW w:w="975" w:type="dxa"/>
            <w:vAlign w:val="center"/>
          </w:tcPr>
          <w:p w14:paraId="65F88A75">
            <w:pPr>
              <w:jc w:val="center"/>
              <w:rPr>
                <w:rFonts w:ascii="华文仿宋" w:hAnsi="华文仿宋" w:eastAsia="华文仿宋"/>
                <w:bCs/>
                <w:sz w:val="28"/>
                <w:szCs w:val="28"/>
              </w:rPr>
            </w:pPr>
          </w:p>
        </w:tc>
        <w:tc>
          <w:tcPr>
            <w:tcW w:w="2198" w:type="dxa"/>
            <w:vAlign w:val="center"/>
          </w:tcPr>
          <w:p w14:paraId="6DD1EEA6">
            <w:pPr>
              <w:jc w:val="center"/>
              <w:rPr>
                <w:rFonts w:ascii="华文仿宋" w:hAnsi="华文仿宋" w:eastAsia="华文仿宋"/>
                <w:bCs/>
                <w:sz w:val="28"/>
                <w:szCs w:val="28"/>
              </w:rPr>
            </w:pPr>
          </w:p>
        </w:tc>
        <w:tc>
          <w:tcPr>
            <w:tcW w:w="977" w:type="dxa"/>
            <w:vAlign w:val="center"/>
          </w:tcPr>
          <w:p w14:paraId="334843E3">
            <w:pPr>
              <w:jc w:val="center"/>
              <w:rPr>
                <w:rFonts w:ascii="华文仿宋" w:hAnsi="华文仿宋" w:eastAsia="华文仿宋"/>
                <w:bCs/>
                <w:sz w:val="28"/>
                <w:szCs w:val="28"/>
              </w:rPr>
            </w:pPr>
          </w:p>
        </w:tc>
        <w:tc>
          <w:tcPr>
            <w:tcW w:w="2448" w:type="dxa"/>
            <w:vAlign w:val="center"/>
          </w:tcPr>
          <w:p w14:paraId="75BCF686">
            <w:pPr>
              <w:jc w:val="center"/>
              <w:rPr>
                <w:rFonts w:ascii="华文仿宋" w:hAnsi="华文仿宋" w:eastAsia="华文仿宋"/>
                <w:bCs/>
                <w:sz w:val="28"/>
                <w:szCs w:val="28"/>
              </w:rPr>
            </w:pPr>
          </w:p>
        </w:tc>
      </w:tr>
      <w:tr w14:paraId="14EE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0385B2A5">
            <w:pPr>
              <w:jc w:val="center"/>
              <w:rPr>
                <w:rFonts w:ascii="华文仿宋" w:hAnsi="华文仿宋" w:eastAsia="华文仿宋"/>
                <w:bCs/>
                <w:sz w:val="28"/>
                <w:szCs w:val="28"/>
              </w:rPr>
            </w:pPr>
          </w:p>
        </w:tc>
        <w:tc>
          <w:tcPr>
            <w:tcW w:w="1108" w:type="dxa"/>
            <w:vAlign w:val="center"/>
          </w:tcPr>
          <w:p w14:paraId="1B94FCEB">
            <w:pPr>
              <w:jc w:val="center"/>
              <w:rPr>
                <w:rFonts w:ascii="华文仿宋" w:hAnsi="华文仿宋" w:eastAsia="华文仿宋"/>
                <w:bCs/>
                <w:sz w:val="28"/>
                <w:szCs w:val="28"/>
              </w:rPr>
            </w:pPr>
          </w:p>
        </w:tc>
        <w:tc>
          <w:tcPr>
            <w:tcW w:w="975" w:type="dxa"/>
            <w:vAlign w:val="center"/>
          </w:tcPr>
          <w:p w14:paraId="7DFC6CF9">
            <w:pPr>
              <w:jc w:val="center"/>
              <w:rPr>
                <w:rFonts w:ascii="华文仿宋" w:hAnsi="华文仿宋" w:eastAsia="华文仿宋"/>
                <w:bCs/>
                <w:sz w:val="28"/>
                <w:szCs w:val="28"/>
              </w:rPr>
            </w:pPr>
          </w:p>
        </w:tc>
        <w:tc>
          <w:tcPr>
            <w:tcW w:w="2198" w:type="dxa"/>
            <w:vAlign w:val="center"/>
          </w:tcPr>
          <w:p w14:paraId="040016CC">
            <w:pPr>
              <w:jc w:val="center"/>
              <w:rPr>
                <w:rFonts w:ascii="华文仿宋" w:hAnsi="华文仿宋" w:eastAsia="华文仿宋"/>
                <w:bCs/>
                <w:sz w:val="28"/>
                <w:szCs w:val="28"/>
              </w:rPr>
            </w:pPr>
          </w:p>
        </w:tc>
        <w:tc>
          <w:tcPr>
            <w:tcW w:w="977" w:type="dxa"/>
            <w:vAlign w:val="center"/>
          </w:tcPr>
          <w:p w14:paraId="760F7AA9">
            <w:pPr>
              <w:jc w:val="center"/>
              <w:rPr>
                <w:rFonts w:ascii="华文仿宋" w:hAnsi="华文仿宋" w:eastAsia="华文仿宋"/>
                <w:bCs/>
                <w:sz w:val="28"/>
                <w:szCs w:val="28"/>
              </w:rPr>
            </w:pPr>
          </w:p>
        </w:tc>
        <w:tc>
          <w:tcPr>
            <w:tcW w:w="2448" w:type="dxa"/>
            <w:vAlign w:val="center"/>
          </w:tcPr>
          <w:p w14:paraId="3B6ADE6F">
            <w:pPr>
              <w:jc w:val="center"/>
              <w:rPr>
                <w:rFonts w:ascii="华文仿宋" w:hAnsi="华文仿宋" w:eastAsia="华文仿宋"/>
                <w:bCs/>
                <w:sz w:val="28"/>
                <w:szCs w:val="28"/>
              </w:rPr>
            </w:pPr>
          </w:p>
        </w:tc>
      </w:tr>
      <w:tr w14:paraId="2D38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40E148A2">
            <w:pPr>
              <w:jc w:val="center"/>
              <w:rPr>
                <w:rFonts w:ascii="华文仿宋" w:hAnsi="华文仿宋" w:eastAsia="华文仿宋"/>
                <w:bCs/>
                <w:sz w:val="28"/>
                <w:szCs w:val="28"/>
              </w:rPr>
            </w:pPr>
          </w:p>
        </w:tc>
        <w:tc>
          <w:tcPr>
            <w:tcW w:w="1108" w:type="dxa"/>
            <w:vAlign w:val="center"/>
          </w:tcPr>
          <w:p w14:paraId="2F0D7521">
            <w:pPr>
              <w:jc w:val="center"/>
              <w:rPr>
                <w:rFonts w:ascii="华文仿宋" w:hAnsi="华文仿宋" w:eastAsia="华文仿宋"/>
                <w:bCs/>
                <w:sz w:val="28"/>
                <w:szCs w:val="28"/>
              </w:rPr>
            </w:pPr>
          </w:p>
        </w:tc>
        <w:tc>
          <w:tcPr>
            <w:tcW w:w="975" w:type="dxa"/>
            <w:vAlign w:val="center"/>
          </w:tcPr>
          <w:p w14:paraId="18F109CD">
            <w:pPr>
              <w:jc w:val="center"/>
              <w:rPr>
                <w:rFonts w:ascii="华文仿宋" w:hAnsi="华文仿宋" w:eastAsia="华文仿宋"/>
                <w:bCs/>
                <w:sz w:val="28"/>
                <w:szCs w:val="28"/>
              </w:rPr>
            </w:pPr>
          </w:p>
        </w:tc>
        <w:tc>
          <w:tcPr>
            <w:tcW w:w="2198" w:type="dxa"/>
            <w:vAlign w:val="center"/>
          </w:tcPr>
          <w:p w14:paraId="3FF4F469">
            <w:pPr>
              <w:jc w:val="center"/>
              <w:rPr>
                <w:rFonts w:ascii="华文仿宋" w:hAnsi="华文仿宋" w:eastAsia="华文仿宋"/>
                <w:bCs/>
                <w:sz w:val="28"/>
                <w:szCs w:val="28"/>
              </w:rPr>
            </w:pPr>
          </w:p>
        </w:tc>
        <w:tc>
          <w:tcPr>
            <w:tcW w:w="977" w:type="dxa"/>
            <w:vAlign w:val="center"/>
          </w:tcPr>
          <w:p w14:paraId="58015B90">
            <w:pPr>
              <w:jc w:val="center"/>
              <w:rPr>
                <w:rFonts w:ascii="华文仿宋" w:hAnsi="华文仿宋" w:eastAsia="华文仿宋"/>
                <w:bCs/>
                <w:sz w:val="28"/>
                <w:szCs w:val="28"/>
              </w:rPr>
            </w:pPr>
          </w:p>
        </w:tc>
        <w:tc>
          <w:tcPr>
            <w:tcW w:w="2448" w:type="dxa"/>
            <w:vAlign w:val="center"/>
          </w:tcPr>
          <w:p w14:paraId="2106942A">
            <w:pPr>
              <w:jc w:val="center"/>
              <w:rPr>
                <w:rFonts w:ascii="华文仿宋" w:hAnsi="华文仿宋" w:eastAsia="华文仿宋"/>
                <w:bCs/>
                <w:sz w:val="28"/>
                <w:szCs w:val="28"/>
              </w:rPr>
            </w:pPr>
          </w:p>
        </w:tc>
      </w:tr>
    </w:tbl>
    <w:p w14:paraId="11E3E845">
      <w:pPr>
        <w:pStyle w:val="12"/>
        <w:spacing w:line="560" w:lineRule="exact"/>
        <w:ind w:firstLine="592"/>
        <w:rPr>
          <w:rFonts w:ascii="仿宋_GB2312" w:hAnsi="仿宋_GB2312" w:cs="仿宋_GB2312"/>
          <w:sz w:val="30"/>
          <w:szCs w:val="30"/>
        </w:rPr>
      </w:pPr>
    </w:p>
    <w:sectPr>
      <w:pgSz w:w="11906" w:h="16839"/>
      <w:pgMar w:top="1587" w:right="1474" w:bottom="1474" w:left="1587" w:header="0" w:footer="0" w:gutter="0"/>
      <w:cols w:space="720" w:num="1"/>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B48F82CF-BE18-4646-9B5C-32818E19423B}"/>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embedRegular r:id="rId2" w:fontKey="{3747AC29-4453-4C67-8B08-BB0056C9D5E6}"/>
  </w:font>
  <w:font w:name="方正公文小标宋">
    <w:panose1 w:val="02000500000000000000"/>
    <w:charset w:val="86"/>
    <w:family w:val="auto"/>
    <w:pitch w:val="default"/>
    <w:sig w:usb0="A00002BF" w:usb1="38CF7CFA" w:usb2="00000016" w:usb3="00000000" w:csb0="00040001" w:csb1="00000000"/>
    <w:embedRegular r:id="rId3" w:fontKey="{07D9404C-44EC-465C-8023-691E719C7CDD}"/>
  </w:font>
  <w:font w:name="华文仿宋">
    <w:panose1 w:val="02010600040101010101"/>
    <w:charset w:val="86"/>
    <w:family w:val="auto"/>
    <w:pitch w:val="default"/>
    <w:sig w:usb0="00000287" w:usb1="080F0000" w:usb2="00000000" w:usb3="00000000" w:csb0="0004009F" w:csb1="DFD70000"/>
    <w:embedRegular r:id="rId4" w:fontKey="{9C635BDD-E9D5-40F7-BB12-2E25B783F7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3F68">
    <w:pPr>
      <w:tabs>
        <w:tab w:val="center" w:pos="4153"/>
        <w:tab w:val="right" w:pos="8306"/>
      </w:tabs>
      <w:jc w:val="righ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C83E">
    <w:pPr>
      <w:tabs>
        <w:tab w:val="center" w:pos="4153"/>
        <w:tab w:val="right" w:pos="8306"/>
      </w:tabs>
      <w:jc w:val="lef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FC6F7">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567CD">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0FD15"/>
    <w:multiLevelType w:val="singleLevel"/>
    <w:tmpl w:val="9CE0FD15"/>
    <w:lvl w:ilvl="0" w:tentative="0">
      <w:start w:val="1"/>
      <w:numFmt w:val="decimal"/>
      <w:suff w:val="nothing"/>
      <w:lvlText w:val="（%1）"/>
      <w:lvlJc w:val="left"/>
      <w:pPr>
        <w:ind w:left="0" w:firstLine="640"/>
      </w:pPr>
      <w:rPr>
        <w:rFonts w:hint="default"/>
      </w:rPr>
    </w:lvl>
  </w:abstractNum>
  <w:abstractNum w:abstractNumId="1">
    <w:nsid w:val="A96E6C12"/>
    <w:multiLevelType w:val="singleLevel"/>
    <w:tmpl w:val="A96E6C12"/>
    <w:lvl w:ilvl="0" w:tentative="0">
      <w:start w:val="1"/>
      <w:numFmt w:val="decimal"/>
      <w:suff w:val="nothing"/>
      <w:lvlText w:val="%1．"/>
      <w:lvlJc w:val="left"/>
      <w:pPr>
        <w:ind w:left="0" w:firstLine="640"/>
      </w:pPr>
      <w:rPr>
        <w:rFonts w:hint="default"/>
      </w:rPr>
    </w:lvl>
  </w:abstractNum>
  <w:abstractNum w:abstractNumId="2">
    <w:nsid w:val="B0D5B826"/>
    <w:multiLevelType w:val="singleLevel"/>
    <w:tmpl w:val="B0D5B826"/>
    <w:lvl w:ilvl="0" w:tentative="0">
      <w:start w:val="1"/>
      <w:numFmt w:val="decimal"/>
      <w:suff w:val="space"/>
      <w:lvlText w:val="3.%1"/>
      <w:lvlJc w:val="left"/>
      <w:pPr>
        <w:ind w:left="0" w:firstLine="640"/>
      </w:pPr>
      <w:rPr>
        <w:rFonts w:hint="default"/>
      </w:rPr>
    </w:lvl>
  </w:abstractNum>
  <w:abstractNum w:abstractNumId="3">
    <w:nsid w:val="B35348BB"/>
    <w:multiLevelType w:val="singleLevel"/>
    <w:tmpl w:val="B35348BB"/>
    <w:lvl w:ilvl="0" w:tentative="0">
      <w:start w:val="1"/>
      <w:numFmt w:val="decimal"/>
      <w:suff w:val="space"/>
      <w:lvlText w:val="1.%1"/>
      <w:lvlJc w:val="left"/>
      <w:pPr>
        <w:ind w:left="0" w:firstLine="640"/>
      </w:pPr>
      <w:rPr>
        <w:rFonts w:hint="default"/>
      </w:rPr>
    </w:lvl>
  </w:abstractNum>
  <w:abstractNum w:abstractNumId="4">
    <w:nsid w:val="F513215F"/>
    <w:multiLevelType w:val="singleLevel"/>
    <w:tmpl w:val="F513215F"/>
    <w:lvl w:ilvl="0" w:tentative="0">
      <w:start w:val="1"/>
      <w:numFmt w:val="decimal"/>
      <w:suff w:val="nothing"/>
      <w:lvlText w:val="（%1）"/>
      <w:lvlJc w:val="left"/>
      <w:pPr>
        <w:ind w:left="0" w:firstLine="640"/>
      </w:pPr>
      <w:rPr>
        <w:rFonts w:hint="default"/>
      </w:rPr>
    </w:lvl>
  </w:abstractNum>
  <w:abstractNum w:abstractNumId="5">
    <w:nsid w:val="0934D1A2"/>
    <w:multiLevelType w:val="singleLevel"/>
    <w:tmpl w:val="0934D1A2"/>
    <w:lvl w:ilvl="0" w:tentative="0">
      <w:start w:val="1"/>
      <w:numFmt w:val="decimal"/>
      <w:lvlText w:val="%1."/>
      <w:lvlJc w:val="left"/>
      <w:pPr>
        <w:tabs>
          <w:tab w:val="left" w:pos="312"/>
        </w:tabs>
      </w:pPr>
    </w:lvl>
  </w:abstractNum>
  <w:abstractNum w:abstractNumId="6">
    <w:nsid w:val="220EF1BA"/>
    <w:multiLevelType w:val="singleLevel"/>
    <w:tmpl w:val="220EF1BA"/>
    <w:lvl w:ilvl="0" w:tentative="0">
      <w:start w:val="1"/>
      <w:numFmt w:val="chineseCounting"/>
      <w:suff w:val="nothing"/>
      <w:lvlText w:val="（%1）"/>
      <w:lvlJc w:val="left"/>
      <w:pPr>
        <w:ind w:left="0" w:firstLine="640"/>
      </w:pPr>
      <w:rPr>
        <w:rFonts w:hint="eastAsia"/>
      </w:rPr>
    </w:lvl>
  </w:abstractNum>
  <w:abstractNum w:abstractNumId="7">
    <w:nsid w:val="74D8730B"/>
    <w:multiLevelType w:val="singleLevel"/>
    <w:tmpl w:val="74D8730B"/>
    <w:lvl w:ilvl="0" w:tentative="0">
      <w:start w:val="1"/>
      <w:numFmt w:val="decimal"/>
      <w:suff w:val="space"/>
      <w:lvlText w:val="2.%1"/>
      <w:lvlJc w:val="left"/>
      <w:pPr>
        <w:ind w:left="0" w:firstLine="640"/>
      </w:pPr>
      <w:rPr>
        <w:rFonts w:hint="default"/>
      </w:rPr>
    </w:lvl>
  </w:abstractNum>
  <w:num w:numId="1">
    <w:abstractNumId w:val="1"/>
  </w:num>
  <w:num w:numId="2">
    <w:abstractNumId w:val="5"/>
  </w:num>
  <w:num w:numId="3">
    <w:abstractNumId w:val="3"/>
  </w:num>
  <w:num w:numId="4">
    <w:abstractNumId w:val="4"/>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defaultTabStop w:val="500"/>
  <w:evenAndOddHeaders w:val="1"/>
  <w:noPunctuationKerning w:val="1"/>
  <w:characterSpacingControl w:val="doNotCompress"/>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MzEwMmU3ODdkMTYxYTg3ZDdmNTk0N2Y2ZWFjNDcifQ=="/>
  </w:docVars>
  <w:rsids>
    <w:rsidRoot w:val="00F32068"/>
    <w:rsid w:val="000419DD"/>
    <w:rsid w:val="000900B6"/>
    <w:rsid w:val="00394682"/>
    <w:rsid w:val="006742A9"/>
    <w:rsid w:val="006E385B"/>
    <w:rsid w:val="006F0939"/>
    <w:rsid w:val="0078308D"/>
    <w:rsid w:val="00841BFD"/>
    <w:rsid w:val="00AE44B0"/>
    <w:rsid w:val="00C72DDB"/>
    <w:rsid w:val="00C74ED8"/>
    <w:rsid w:val="00CB522D"/>
    <w:rsid w:val="00CE13ED"/>
    <w:rsid w:val="00D05D24"/>
    <w:rsid w:val="00EA1C01"/>
    <w:rsid w:val="00ED6615"/>
    <w:rsid w:val="00F15008"/>
    <w:rsid w:val="00F2572B"/>
    <w:rsid w:val="00F32068"/>
    <w:rsid w:val="05C26082"/>
    <w:rsid w:val="079A2E7C"/>
    <w:rsid w:val="0B925AA8"/>
    <w:rsid w:val="0C807FF6"/>
    <w:rsid w:val="0DE340C3"/>
    <w:rsid w:val="0DF243E8"/>
    <w:rsid w:val="12F86B39"/>
    <w:rsid w:val="142D49B0"/>
    <w:rsid w:val="1523497B"/>
    <w:rsid w:val="16C555A8"/>
    <w:rsid w:val="1DB47B00"/>
    <w:rsid w:val="21F665C5"/>
    <w:rsid w:val="27977E98"/>
    <w:rsid w:val="28184C0C"/>
    <w:rsid w:val="2E424CB4"/>
    <w:rsid w:val="35DB7EC8"/>
    <w:rsid w:val="37474D43"/>
    <w:rsid w:val="37EF5949"/>
    <w:rsid w:val="3C584AFB"/>
    <w:rsid w:val="3D2B241A"/>
    <w:rsid w:val="3F2C506D"/>
    <w:rsid w:val="434D0D9E"/>
    <w:rsid w:val="44600D9B"/>
    <w:rsid w:val="4472084D"/>
    <w:rsid w:val="44D81A76"/>
    <w:rsid w:val="45A54553"/>
    <w:rsid w:val="461A3362"/>
    <w:rsid w:val="49195F5C"/>
    <w:rsid w:val="4D68269A"/>
    <w:rsid w:val="4E797E26"/>
    <w:rsid w:val="522D01E0"/>
    <w:rsid w:val="5AF02F48"/>
    <w:rsid w:val="5B701BEB"/>
    <w:rsid w:val="5BD21C2B"/>
    <w:rsid w:val="5D406C35"/>
    <w:rsid w:val="63EF49BB"/>
    <w:rsid w:val="64300D87"/>
    <w:rsid w:val="6456580E"/>
    <w:rsid w:val="677B29F2"/>
    <w:rsid w:val="6D7777CF"/>
    <w:rsid w:val="6D8F2D6B"/>
    <w:rsid w:val="6F962640"/>
    <w:rsid w:val="72186BDA"/>
    <w:rsid w:val="74260EE9"/>
    <w:rsid w:val="74770E28"/>
    <w:rsid w:val="761F4B92"/>
    <w:rsid w:val="7DA91891"/>
    <w:rsid w:val="7E967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仿宋_GB2312" w:cs="Times New Roman"/>
      <w:kern w:val="2"/>
      <w:sz w:val="32"/>
      <w:szCs w:val="32"/>
      <w:lang w:val="en-US" w:eastAsia="zh-CN" w:bidi="ar-SA"/>
    </w:rPr>
  </w:style>
  <w:style w:type="paragraph" w:styleId="2">
    <w:name w:val="heading 1"/>
    <w:next w:val="1"/>
    <w:qFormat/>
    <w:uiPriority w:val="0"/>
    <w:pPr>
      <w:keepNext/>
      <w:keepLines/>
      <w:widowControl w:val="0"/>
      <w:overflowPunct w:val="0"/>
      <w:topLinePunct/>
      <w:ind w:firstLine="632" w:firstLineChars="200"/>
      <w:jc w:val="both"/>
      <w:outlineLvl w:val="0"/>
    </w:pPr>
    <w:rPr>
      <w:rFonts w:ascii="Times New Roman" w:hAnsi="Times New Roman" w:eastAsia="黑体" w:cs="Times New Roman"/>
      <w:kern w:val="44"/>
      <w:sz w:val="32"/>
      <w:szCs w:val="32"/>
      <w:lang w:val="en-US" w:eastAsia="zh-CN" w:bidi="ar-SA"/>
    </w:rPr>
  </w:style>
  <w:style w:type="paragraph" w:styleId="3">
    <w:name w:val="heading 2"/>
    <w:next w:val="1"/>
    <w:unhideWhenUsed/>
    <w:qFormat/>
    <w:uiPriority w:val="0"/>
    <w:pPr>
      <w:keepNext/>
      <w:keepLines/>
      <w:widowControl w:val="0"/>
      <w:overflowPunct w:val="0"/>
      <w:topLinePunct/>
      <w:ind w:firstLine="632" w:firstLineChars="200"/>
      <w:jc w:val="both"/>
      <w:outlineLvl w:val="1"/>
    </w:pPr>
    <w:rPr>
      <w:rFonts w:ascii="Times New Roman" w:hAnsi="Times New Roman" w:eastAsia="楷体" w:cs="Times New Roman"/>
      <w:kern w:val="2"/>
      <w:sz w:val="32"/>
      <w:szCs w:val="32"/>
      <w:lang w:val="en-US" w:eastAsia="zh-CN" w:bidi="ar-SA"/>
    </w:rPr>
  </w:style>
  <w:style w:type="paragraph" w:styleId="4">
    <w:name w:val="heading 3"/>
    <w:next w:val="1"/>
    <w:semiHidden/>
    <w:unhideWhenUsed/>
    <w:qFormat/>
    <w:uiPriority w:val="0"/>
    <w:pPr>
      <w:keepNext/>
      <w:keepLines/>
      <w:widowControl w:val="0"/>
      <w:overflowPunct w:val="0"/>
      <w:topLinePunct/>
      <w:ind w:firstLine="632" w:firstLineChars="200"/>
      <w:jc w:val="both"/>
      <w:outlineLvl w:val="2"/>
    </w:pPr>
    <w:rPr>
      <w:rFonts w:ascii="Times New Roman" w:hAnsi="Times New Roman" w:eastAsia="仿宋_GB2312" w:cs="Times New Roman"/>
      <w:kern w:val="2"/>
      <w:sz w:val="32"/>
      <w:szCs w:val="32"/>
      <w:lang w:val="en-US" w:eastAsia="zh-CN" w:bidi="ar-SA"/>
    </w:rPr>
  </w:style>
  <w:style w:type="paragraph" w:styleId="5">
    <w:name w:val="heading 4"/>
    <w:next w:val="1"/>
    <w:semiHidden/>
    <w:unhideWhenUsed/>
    <w:qFormat/>
    <w:uiPriority w:val="0"/>
    <w:pPr>
      <w:keepNext/>
      <w:keepLines/>
      <w:widowControl w:val="0"/>
      <w:overflowPunct w:val="0"/>
      <w:topLinePunct/>
      <w:ind w:firstLine="632" w:firstLineChars="200"/>
      <w:jc w:val="both"/>
      <w:outlineLvl w:val="3"/>
    </w:pPr>
    <w:rPr>
      <w:rFonts w:ascii="Times New Roman" w:hAnsi="Times New Roman" w:eastAsia="仿宋_GB2312" w:cs="Times New Roman"/>
      <w:kern w:val="2"/>
      <w:sz w:val="32"/>
      <w:szCs w:val="32"/>
      <w:lang w:val="en-US" w:eastAsia="zh-CN" w:bidi="ar-SA"/>
    </w:rPr>
  </w:style>
  <w:style w:type="paragraph" w:styleId="6">
    <w:name w:val="heading 5"/>
    <w:next w:val="1"/>
    <w:semiHidden/>
    <w:unhideWhenUsed/>
    <w:qFormat/>
    <w:uiPriority w:val="0"/>
    <w:pPr>
      <w:keepNext/>
      <w:keepLines/>
      <w:widowControl w:val="0"/>
      <w:overflowPunct w:val="0"/>
      <w:topLinePunct/>
      <w:ind w:firstLine="632" w:firstLineChars="200"/>
      <w:jc w:val="both"/>
      <w:outlineLvl w:val="4"/>
    </w:pPr>
    <w:rPr>
      <w:rFonts w:ascii="Times New Roman" w:hAnsi="Times New Roman" w:eastAsia="仿宋_GB2312" w:cs="Times New Roman"/>
      <w:kern w:val="2"/>
      <w:sz w:val="32"/>
      <w:szCs w:val="32"/>
      <w:lang w:val="en-US" w:eastAsia="zh-CN" w:bidi="ar-SA"/>
    </w:rPr>
  </w:style>
  <w:style w:type="paragraph" w:styleId="7">
    <w:name w:val="heading 6"/>
    <w:next w:val="1"/>
    <w:semiHidden/>
    <w:unhideWhenUsed/>
    <w:qFormat/>
    <w:uiPriority w:val="0"/>
    <w:pPr>
      <w:keepNext/>
      <w:keepLines/>
      <w:widowControl w:val="0"/>
      <w:overflowPunct w:val="0"/>
      <w:topLinePunct/>
      <w:ind w:firstLine="632" w:firstLineChars="200"/>
      <w:jc w:val="both"/>
      <w:outlineLvl w:val="5"/>
    </w:pPr>
    <w:rPr>
      <w:rFonts w:ascii="Times New Roman" w:hAnsi="Times New Roman" w:eastAsia="仿宋_GB2312" w:cs="Times New Roman"/>
      <w:kern w:val="2"/>
      <w:sz w:val="32"/>
      <w:szCs w:val="32"/>
      <w:lang w:val="en-US" w:eastAsia="zh-CN" w:bidi="ar-SA"/>
    </w:rPr>
  </w:style>
  <w:style w:type="paragraph" w:styleId="8">
    <w:name w:val="heading 7"/>
    <w:next w:val="1"/>
    <w:semiHidden/>
    <w:unhideWhenUsed/>
    <w:qFormat/>
    <w:uiPriority w:val="0"/>
    <w:pPr>
      <w:keepNext/>
      <w:keepLines/>
      <w:widowControl w:val="0"/>
      <w:overflowPunct w:val="0"/>
      <w:topLinePunct/>
      <w:ind w:firstLine="632" w:firstLineChars="200"/>
      <w:jc w:val="both"/>
      <w:outlineLvl w:val="6"/>
    </w:pPr>
    <w:rPr>
      <w:rFonts w:ascii="Times New Roman" w:hAnsi="Times New Roman" w:eastAsia="仿宋_GB2312" w:cs="Times New Roman"/>
      <w:kern w:val="2"/>
      <w:sz w:val="32"/>
      <w:szCs w:val="32"/>
      <w:lang w:val="en-US" w:eastAsia="zh-CN" w:bidi="ar-SA"/>
    </w:rPr>
  </w:style>
  <w:style w:type="paragraph" w:styleId="9">
    <w:name w:val="heading 8"/>
    <w:next w:val="1"/>
    <w:semiHidden/>
    <w:unhideWhenUsed/>
    <w:qFormat/>
    <w:uiPriority w:val="0"/>
    <w:pPr>
      <w:keepNext/>
      <w:keepLines/>
      <w:widowControl w:val="0"/>
      <w:overflowPunct w:val="0"/>
      <w:topLinePunct/>
      <w:ind w:firstLine="632" w:firstLineChars="200"/>
      <w:jc w:val="both"/>
      <w:outlineLvl w:val="7"/>
    </w:pPr>
    <w:rPr>
      <w:rFonts w:ascii="Times New Roman" w:hAnsi="Times New Roman" w:eastAsia="仿宋_GB2312" w:cs="Times New Roman"/>
      <w:kern w:val="2"/>
      <w:sz w:val="32"/>
      <w:szCs w:val="32"/>
      <w:lang w:val="en-US" w:eastAsia="zh-CN" w:bidi="ar-SA"/>
    </w:rPr>
  </w:style>
  <w:style w:type="paragraph" w:styleId="10">
    <w:name w:val="heading 9"/>
    <w:next w:val="1"/>
    <w:semiHidden/>
    <w:unhideWhenUsed/>
    <w:qFormat/>
    <w:uiPriority w:val="0"/>
    <w:pPr>
      <w:keepNext/>
      <w:keepLines/>
      <w:widowControl w:val="0"/>
      <w:overflowPunct w:val="0"/>
      <w:topLinePunct/>
      <w:ind w:firstLine="632" w:firstLineChars="200"/>
      <w:jc w:val="both"/>
      <w:outlineLvl w:val="8"/>
    </w:pPr>
    <w:rPr>
      <w:rFonts w:ascii="Times New Roman" w:hAnsi="Times New Roman" w:eastAsia="仿宋_GB2312" w:cs="Times New Roman"/>
      <w:kern w:val="2"/>
      <w:sz w:val="32"/>
      <w:szCs w:val="32"/>
      <w:lang w:val="en-US" w:eastAsia="zh-CN" w:bidi="ar-SA"/>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0"/>
    <w:pPr>
      <w:jc w:val="left"/>
    </w:pPr>
  </w:style>
  <w:style w:type="paragraph" w:styleId="12">
    <w:name w:val="Body Text"/>
    <w:basedOn w:val="1"/>
    <w:link w:val="22"/>
    <w:semiHidden/>
    <w:qFormat/>
    <w:uiPriority w:val="0"/>
    <w:pPr>
      <w:ind w:firstLine="632" w:firstLineChars="200"/>
    </w:pPr>
  </w:style>
  <w:style w:type="paragraph" w:styleId="13">
    <w:name w:val="Plain Text"/>
    <w:basedOn w:val="1"/>
    <w:qFormat/>
    <w:uiPriority w:val="0"/>
    <w:rPr>
      <w:rFonts w:ascii="宋体" w:cs="Arial"/>
      <w:sz w:val="21"/>
      <w:szCs w:val="22"/>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qFormat/>
    <w:uiPriority w:val="0"/>
    <w:pPr>
      <w:widowControl w:val="0"/>
      <w:overflowPunct w:val="0"/>
      <w:topLinePunct/>
      <w:jc w:val="center"/>
    </w:pPr>
    <w:rPr>
      <w:rFonts w:ascii="Times New Roman" w:hAnsi="Times New Roman" w:eastAsia="方正小标宋_GBK" w:cs="Times New Roman"/>
      <w:kern w:val="28"/>
      <w:sz w:val="32"/>
      <w:szCs w:val="32"/>
      <w:lang w:val="en-US" w:eastAsia="zh-CN" w:bidi="ar-SA"/>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qFormat/>
    <w:uiPriority w:val="0"/>
    <w:pPr>
      <w:widowControl w:val="0"/>
      <w:overflowPunct w:val="0"/>
      <w:topLinePunct/>
      <w:jc w:val="center"/>
    </w:pPr>
    <w:rPr>
      <w:rFonts w:ascii="Times New Roman" w:hAnsi="Times New Roman" w:eastAsia="方正小标宋_GBK" w:cs="Times New Roman"/>
      <w:kern w:val="2"/>
      <w:sz w:val="44"/>
      <w:szCs w:val="32"/>
      <w:lang w:val="en-US" w:eastAsia="zh-CN" w:bidi="ar-SA"/>
    </w:rPr>
  </w:style>
  <w:style w:type="character" w:styleId="20">
    <w:name w:val="Hyperlink"/>
    <w:basedOn w:val="19"/>
    <w:uiPriority w:val="0"/>
    <w:rPr>
      <w:color w:val="0000FF"/>
      <w:u w:val="single"/>
    </w:rPr>
  </w:style>
  <w:style w:type="character" w:styleId="21">
    <w:name w:val="annotation reference"/>
    <w:basedOn w:val="19"/>
    <w:qFormat/>
    <w:uiPriority w:val="0"/>
    <w:rPr>
      <w:sz w:val="21"/>
      <w:szCs w:val="21"/>
    </w:rPr>
  </w:style>
  <w:style w:type="character" w:customStyle="1" w:styleId="22">
    <w:name w:val="正文文本 字符"/>
    <w:link w:val="12"/>
    <w:qFormat/>
    <w:uiPriority w:val="0"/>
    <w:rPr>
      <w:rFonts w:ascii="Arial" w:hAnsi="Arial" w:eastAsia="Arial" w:cs="Arial"/>
      <w:sz w:val="21"/>
      <w:szCs w:val="21"/>
      <w:lang w:val="en-US" w:eastAsia="en-US" w:bidi="ar-SA"/>
    </w:rPr>
  </w:style>
  <w:style w:type="table" w:customStyle="1" w:styleId="23">
    <w:name w:val="Table Normal"/>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仿宋" w:hAnsi="仿宋" w:eastAsia="仿宋" w:cs="仿宋"/>
      <w:sz w:val="26"/>
      <w:szCs w:val="26"/>
      <w:lang w:eastAsia="en-US"/>
    </w:rPr>
  </w:style>
  <w:style w:type="character" w:customStyle="1" w:styleId="25">
    <w:name w:val="font21"/>
    <w:basedOn w:val="19"/>
    <w:qFormat/>
    <w:uiPriority w:val="0"/>
    <w:rPr>
      <w:rFonts w:hint="eastAsia" w:ascii="仿宋_GB2312" w:eastAsia="仿宋_GB2312" w:cs="仿宋_GB2312"/>
      <w:color w:val="000000"/>
      <w:sz w:val="30"/>
      <w:szCs w:val="30"/>
      <w:u w:val="none"/>
    </w:rPr>
  </w:style>
  <w:style w:type="character" w:customStyle="1" w:styleId="26">
    <w:name w:val="font11"/>
    <w:basedOn w:val="19"/>
    <w:qFormat/>
    <w:uiPriority w:val="0"/>
    <w:rPr>
      <w:rFonts w:ascii="宋体" w:hAnsi="宋体" w:eastAsia="宋体" w:cs="宋体"/>
      <w:color w:val="000000"/>
      <w:sz w:val="28"/>
      <w:szCs w:val="28"/>
      <w:u w:val="none"/>
    </w:rPr>
  </w:style>
  <w:style w:type="paragraph" w:customStyle="1" w:styleId="2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3505</Words>
  <Characters>3754</Characters>
  <Lines>42</Lines>
  <Paragraphs>12</Paragraphs>
  <TotalTime>28</TotalTime>
  <ScaleCrop>false</ScaleCrop>
  <LinksUpToDate>false</LinksUpToDate>
  <CharactersWithSpaces>3808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2024-12-17T08:23:00Z</dcterms:created>
  <dc:creator>天天向上</dc:creator>
  <cp:lastModifiedBy>中铝物流集团有限公司(问题整改)</cp:lastModifiedBy>
  <dcterms:modified xsi:type="dcterms:W3CDTF">2025-04-08T00:42:47Z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2025-03-24T10:03:41Z</vt:filetime>
  </property>
  <property fmtid="{D5CDD505-2E9C-101B-9397-08002B2CF9AE}" pid="4" name="KSOTemplateDocerSaveRecord">
    <vt:lpwstr>eyJoZGlkIjoiNDQyYzRlNGIzNTY4YmY2OTU5YWE1ZjQ3MDJjYmMxODYiLCJ1c2VySWQiOiI5MDM2MDY1NDcifQ==</vt:lpwstr>
  </property>
  <property fmtid="{D5CDD505-2E9C-101B-9397-08002B2CF9AE}" pid="5" name="KSOProductBuildVer">
    <vt:lpwstr>2052-12.1.0.20784</vt:lpwstr>
  </property>
  <property fmtid="{D5CDD505-2E9C-101B-9397-08002B2CF9AE}" pid="6" name="ICV">
    <vt:lpwstr>3AD82A6582F348758B8388B7651A596E_13</vt:lpwstr>
  </property>
  <property fmtid="{D5CDD505-2E9C-101B-9397-08002B2CF9AE}" pid="7" name="标题">
    <vt:lpwstr>中铝物流集团有限公司_x000d_</vt:lpwstr>
  </property>
  <property fmtid="{D5CDD505-2E9C-101B-9397-08002B2CF9AE}" pid="8" name="标题_1">
    <vt:lpwstr>关于邀请参与西芒杜铁矿破碎加工（日照港）项目_x000b_监理服务询价函</vt:lpwstr>
  </property>
  <property fmtid="{D5CDD505-2E9C-101B-9397-08002B2CF9AE}" pid="9" name="发文机关标志">
    <vt:lpwstr>_x000d_中铝物流集团有限公司_x000d_</vt:lpwstr>
  </property>
</Properties>
</file>